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4B2E2E"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sidR="00A84F78">
        <w:rPr>
          <w:rFonts w:ascii="Arial" w:hAnsi="Arial" w:cs="Arial"/>
          <w:b/>
          <w:bCs/>
          <w:sz w:val="28"/>
        </w:rPr>
        <w:t>#96</w:t>
      </w:r>
      <w:r w:rsidR="002B4ACC">
        <w:rPr>
          <w:rFonts w:ascii="Arial" w:hAnsi="Arial" w:cs="Arial"/>
          <w:b/>
          <w:bCs/>
          <w:sz w:val="28"/>
        </w:rPr>
        <w:t>bis</w:t>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ab/>
      </w:r>
      <w:r w:rsidR="002E00F9">
        <w:rPr>
          <w:rFonts w:ascii="Arial" w:eastAsia="MS Mincho" w:hAnsi="Arial" w:cs="Arial" w:hint="eastAsia"/>
          <w:b/>
          <w:bCs/>
          <w:sz w:val="28"/>
          <w:lang w:eastAsia="ja-JP"/>
        </w:rPr>
        <w:t xml:space="preserve"> </w:t>
      </w:r>
      <w:r w:rsidR="00B1104C">
        <w:rPr>
          <w:rFonts w:ascii="Arial" w:eastAsia="MS Mincho" w:hAnsi="Arial" w:cs="Arial"/>
          <w:b/>
          <w:bCs/>
          <w:sz w:val="28"/>
          <w:lang w:eastAsia="ja-JP"/>
        </w:rPr>
        <w:t xml:space="preserve">             </w:t>
      </w:r>
      <w:r w:rsidR="00CC05B6">
        <w:rPr>
          <w:rFonts w:ascii="Arial" w:eastAsia="MS Mincho" w:hAnsi="Arial" w:cs="Arial"/>
          <w:b/>
          <w:bCs/>
          <w:sz w:val="28"/>
          <w:lang w:eastAsia="ja-JP"/>
        </w:rPr>
        <w:t xml:space="preserve"> </w:t>
      </w:r>
      <w:r w:rsidR="00A84F78">
        <w:rPr>
          <w:rFonts w:ascii="Arial" w:eastAsia="MS Mincho" w:hAnsi="Arial" w:cs="Arial"/>
          <w:b/>
          <w:bCs/>
          <w:sz w:val="28"/>
          <w:lang w:eastAsia="ja-JP"/>
        </w:rPr>
        <w:t xml:space="preserve">                                </w:t>
      </w:r>
      <w:r w:rsidR="00C550A9">
        <w:rPr>
          <w:rFonts w:ascii="Arial" w:hAnsi="Arial" w:cs="Arial"/>
          <w:b/>
          <w:bCs/>
          <w:sz w:val="28"/>
        </w:rPr>
        <w:t>R1-</w:t>
      </w:r>
      <w:r>
        <w:rPr>
          <w:rFonts w:ascii="Arial" w:hAnsi="Arial" w:cs="Arial"/>
          <w:b/>
          <w:bCs/>
          <w:color w:val="000000" w:themeColor="text1"/>
          <w:sz w:val="28"/>
        </w:rPr>
        <w:t>190</w:t>
      </w:r>
      <w:r w:rsidR="00B3528D">
        <w:rPr>
          <w:rFonts w:ascii="Arial" w:hAnsi="Arial" w:cs="Arial"/>
          <w:b/>
          <w:bCs/>
          <w:color w:val="000000" w:themeColor="text1"/>
          <w:sz w:val="28"/>
        </w:rPr>
        <w:t>4479</w:t>
      </w:r>
      <w:r w:rsidR="004B0977">
        <w:rPr>
          <w:rFonts w:ascii="Arial" w:hAnsi="Arial" w:cs="Arial"/>
          <w:b/>
          <w:bCs/>
          <w:color w:val="000000" w:themeColor="text1"/>
          <w:sz w:val="28"/>
        </w:rPr>
        <w:t xml:space="preserve"> </w:t>
      </w:r>
      <w:r w:rsidR="002B4ACC">
        <w:rPr>
          <w:rFonts w:ascii="Arial" w:eastAsia="MS Mincho" w:hAnsi="Arial" w:cs="Arial"/>
          <w:b/>
          <w:bCs/>
          <w:sz w:val="28"/>
          <w:lang w:eastAsia="ja-JP"/>
        </w:rPr>
        <w:t>Xi’an, China, 8</w:t>
      </w:r>
      <w:r w:rsidR="002B4ACC" w:rsidRPr="008F5A33">
        <w:rPr>
          <w:rFonts w:ascii="Arial" w:eastAsia="MS Mincho" w:hAnsi="Arial" w:cs="Arial"/>
          <w:b/>
          <w:bCs/>
          <w:sz w:val="28"/>
          <w:vertAlign w:val="superscript"/>
          <w:lang w:eastAsia="ja-JP"/>
        </w:rPr>
        <w:t>th</w:t>
      </w:r>
      <w:r w:rsidR="002B4ACC">
        <w:rPr>
          <w:rFonts w:ascii="Arial" w:eastAsia="MS Mincho" w:hAnsi="Arial" w:cs="Arial"/>
          <w:b/>
          <w:bCs/>
          <w:sz w:val="28"/>
          <w:lang w:eastAsia="ja-JP"/>
        </w:rPr>
        <w:t xml:space="preserve"> – 12</w:t>
      </w:r>
      <w:r w:rsidR="002B4ACC" w:rsidRPr="00363679">
        <w:rPr>
          <w:rFonts w:ascii="Arial" w:eastAsia="MS Mincho" w:hAnsi="Arial" w:cs="Arial"/>
          <w:b/>
          <w:bCs/>
          <w:sz w:val="28"/>
          <w:vertAlign w:val="superscript"/>
          <w:lang w:eastAsia="ja-JP"/>
        </w:rPr>
        <w:t>th</w:t>
      </w:r>
      <w:r w:rsidR="002B4ACC">
        <w:rPr>
          <w:rFonts w:ascii="Arial" w:eastAsia="MS Mincho" w:hAnsi="Arial" w:cs="Arial"/>
          <w:b/>
          <w:bCs/>
          <w:sz w:val="28"/>
          <w:lang w:eastAsia="ja-JP"/>
        </w:rPr>
        <w:t xml:space="preserve"> April,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新細明體"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新細明體" w:hAnsi="Arial"/>
          <w:color w:val="000000"/>
          <w:sz w:val="24"/>
          <w:lang w:eastAsia="zh-TW"/>
        </w:rPr>
        <w:t>7</w:t>
      </w:r>
      <w:r w:rsidR="00F101E4">
        <w:rPr>
          <w:rFonts w:ascii="Arial" w:eastAsia="新細明體" w:hAnsi="Arial" w:hint="eastAsia"/>
          <w:color w:val="000000"/>
          <w:sz w:val="24"/>
          <w:lang w:eastAsia="zh-TW"/>
        </w:rPr>
        <w:t>.</w:t>
      </w:r>
      <w:r w:rsidR="00F101E4">
        <w:rPr>
          <w:rFonts w:ascii="Arial" w:eastAsia="新細明體" w:hAnsi="Arial"/>
          <w:color w:val="000000"/>
          <w:sz w:val="24"/>
          <w:lang w:eastAsia="zh-TW"/>
        </w:rPr>
        <w:t>2.2</w:t>
      </w:r>
      <w:r w:rsidR="006C2961" w:rsidRPr="001548B9">
        <w:rPr>
          <w:rFonts w:ascii="Arial" w:eastAsia="新細明體" w:hAnsi="Arial" w:hint="eastAsia"/>
          <w:color w:val="000000"/>
          <w:sz w:val="24"/>
          <w:lang w:eastAsia="zh-TW"/>
        </w:rPr>
        <w:t>.</w:t>
      </w:r>
      <w:r w:rsidR="00A830DD">
        <w:rPr>
          <w:rFonts w:ascii="Arial" w:eastAsia="新細明體" w:hAnsi="Arial"/>
          <w:color w:val="000000"/>
          <w:sz w:val="24"/>
          <w:lang w:eastAsia="zh-TW"/>
        </w:rPr>
        <w:t>1</w:t>
      </w:r>
      <w:r w:rsidR="00D76FD2">
        <w:rPr>
          <w:rFonts w:ascii="Arial" w:eastAsia="新細明體" w:hAnsi="Arial"/>
          <w:color w:val="000000"/>
          <w:sz w:val="24"/>
          <w:lang w:eastAsia="zh-TW"/>
        </w:rPr>
        <w:t>.1</w:t>
      </w:r>
    </w:p>
    <w:p w:rsidR="0004296E" w:rsidRPr="00E0326F" w:rsidRDefault="0004296E" w:rsidP="002C2D95">
      <w:pPr>
        <w:tabs>
          <w:tab w:val="left" w:pos="1985"/>
        </w:tabs>
        <w:jc w:val="both"/>
        <w:rPr>
          <w:rFonts w:ascii="Arial" w:eastAsia="新細明體"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新細明體" w:hAnsi="Arial" w:hint="eastAsia"/>
          <w:sz w:val="24"/>
          <w:lang w:eastAsia="zh-TW"/>
        </w:rPr>
        <w:t>Media</w:t>
      </w:r>
      <w:r w:rsidR="00E509D2">
        <w:rPr>
          <w:rFonts w:ascii="Arial" w:eastAsia="新細明體" w:hAnsi="Arial" w:hint="eastAsia"/>
          <w:sz w:val="24"/>
          <w:lang w:eastAsia="zh-TW"/>
        </w:rPr>
        <w:t>T</w:t>
      </w:r>
      <w:r w:rsidR="00E0326F">
        <w:rPr>
          <w:rFonts w:ascii="Arial" w:eastAsia="新細明體" w:hAnsi="Arial" w:hint="eastAsia"/>
          <w:sz w:val="24"/>
          <w:lang w:eastAsia="zh-TW"/>
        </w:rPr>
        <w:t>ek</w:t>
      </w:r>
      <w:r w:rsidR="00E509D2">
        <w:rPr>
          <w:rFonts w:ascii="Arial" w:eastAsia="新細明體" w:hAnsi="Arial" w:hint="eastAsia"/>
          <w:sz w:val="24"/>
          <w:lang w:eastAsia="zh-TW"/>
        </w:rPr>
        <w:t xml:space="preserve"> Inc.</w:t>
      </w:r>
    </w:p>
    <w:p w:rsidR="00876D09" w:rsidRPr="005301CC" w:rsidRDefault="0004296E" w:rsidP="002C2D95">
      <w:pPr>
        <w:tabs>
          <w:tab w:val="left" w:pos="1985"/>
        </w:tabs>
        <w:spacing w:after="240"/>
        <w:jc w:val="both"/>
        <w:rPr>
          <w:rFonts w:ascii="Arial" w:eastAsia="新細明體"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63C5A">
        <w:rPr>
          <w:rFonts w:ascii="Arial" w:hAnsi="Arial"/>
          <w:sz w:val="24"/>
        </w:rPr>
        <w:t xml:space="preserve">On </w:t>
      </w:r>
      <w:r w:rsidR="00805B01">
        <w:rPr>
          <w:rFonts w:ascii="Arial" w:hAnsi="Arial"/>
          <w:sz w:val="24"/>
        </w:rPr>
        <w:t>I</w:t>
      </w:r>
      <w:r w:rsidR="00A830DD">
        <w:rPr>
          <w:rFonts w:ascii="Arial" w:hAnsi="Arial"/>
          <w:sz w:val="24"/>
        </w:rPr>
        <w:t xml:space="preserve">nitial </w:t>
      </w:r>
      <w:r w:rsidR="00805B01">
        <w:rPr>
          <w:rFonts w:ascii="Arial" w:hAnsi="Arial"/>
          <w:sz w:val="24"/>
        </w:rPr>
        <w:t>A</w:t>
      </w:r>
      <w:r w:rsidR="001207E5">
        <w:rPr>
          <w:rFonts w:ascii="Arial" w:hAnsi="Arial"/>
          <w:sz w:val="24"/>
        </w:rPr>
        <w:t xml:space="preserve">ccess </w:t>
      </w:r>
      <w:r w:rsidR="00805B01">
        <w:rPr>
          <w:rFonts w:ascii="Arial" w:hAnsi="Arial"/>
          <w:sz w:val="24"/>
        </w:rPr>
        <w:t>Signals and C</w:t>
      </w:r>
      <w:r w:rsidR="00A830DD">
        <w:rPr>
          <w:rFonts w:ascii="Arial" w:hAnsi="Arial"/>
          <w:sz w:val="24"/>
        </w:rPr>
        <w:t>hannels for NR-U</w:t>
      </w:r>
    </w:p>
    <w:p w:rsidR="00CD549E" w:rsidRPr="00C412EE" w:rsidRDefault="0004296E" w:rsidP="002C2D95">
      <w:pPr>
        <w:tabs>
          <w:tab w:val="left" w:pos="1985"/>
        </w:tabs>
        <w:spacing w:after="240"/>
        <w:jc w:val="both"/>
        <w:rPr>
          <w:rFonts w:ascii="Arial" w:eastAsia="新細明體"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FD4605" w:rsidRDefault="00FD4605" w:rsidP="00FD4605">
      <w:pPr>
        <w:spacing w:after="120"/>
        <w:jc w:val="both"/>
        <w:rPr>
          <w:lang w:eastAsia="x-none"/>
        </w:rPr>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rsidR="00555C66">
        <w:t>[1]</w:t>
      </w:r>
      <w:r>
        <w:fldChar w:fldCharType="end"/>
      </w:r>
      <w:r>
        <w:t xml:space="preserve">. </w:t>
      </w:r>
    </w:p>
    <w:p w:rsidR="00DC1298" w:rsidRPr="000F383D" w:rsidRDefault="00FD4605" w:rsidP="00DC1298">
      <w:pPr>
        <w:jc w:val="both"/>
        <w:rPr>
          <w:color w:val="000000" w:themeColor="text1"/>
        </w:rPr>
      </w:pPr>
      <w:r>
        <w:t>In this contribution, we will discuss</w:t>
      </w:r>
      <w:r>
        <w:rPr>
          <w:color w:val="000000" w:themeColor="text1"/>
        </w:rPr>
        <w:t xml:space="preserve"> </w:t>
      </w:r>
      <w:r w:rsidRPr="00F059B4">
        <w:rPr>
          <w:color w:val="000000" w:themeColor="text1"/>
        </w:rPr>
        <w:t xml:space="preserve">the </w:t>
      </w:r>
      <w:r>
        <w:rPr>
          <w:color w:val="000000" w:themeColor="text1"/>
        </w:rPr>
        <w:t>design of NR-U DRS in more detail. PRACH</w:t>
      </w:r>
      <w:r w:rsidR="00CD592B">
        <w:rPr>
          <w:color w:val="000000" w:themeColor="text1"/>
        </w:rPr>
        <w:t xml:space="preserve"> design considerations are also </w:t>
      </w:r>
      <w:bookmarkStart w:id="1" w:name="_GoBack"/>
      <w:bookmarkEnd w:id="1"/>
      <w:r>
        <w:rPr>
          <w:color w:val="000000" w:themeColor="text1"/>
        </w:rPr>
        <w:t>addressed.</w:t>
      </w:r>
    </w:p>
    <w:p w:rsidR="00BF32B0" w:rsidRPr="00BF32B0" w:rsidRDefault="00D00155" w:rsidP="00BF32B0">
      <w:pPr>
        <w:pStyle w:val="Heading1"/>
      </w:pPr>
      <w:r>
        <w:t xml:space="preserve">NR-U </w:t>
      </w:r>
      <w:r w:rsidR="00BF32B0">
        <w:t>DRS Design C</w:t>
      </w:r>
      <w:r w:rsidR="00A57897">
        <w:t>onsideration</w:t>
      </w:r>
      <w:r w:rsidR="00BF32B0">
        <w:t>s</w:t>
      </w:r>
    </w:p>
    <w:p w:rsidR="00731E00" w:rsidRDefault="00A01186" w:rsidP="00A01186">
      <w:pPr>
        <w:rPr>
          <w:lang w:val="en-GB"/>
        </w:rPr>
      </w:pPr>
      <w:r>
        <w:rPr>
          <w:lang w:val="en-GB"/>
        </w:rPr>
        <w:t xml:space="preserve">In this section, we share our views on some remaining issues regarding NR-U DRS design such as SSB pattern in a slot, Type-0 PDCCH configuration, and DL transmission indicator in DRS for UE power saving. </w:t>
      </w:r>
    </w:p>
    <w:p w:rsidR="00916AC2" w:rsidRDefault="00916AC2" w:rsidP="00916AC2">
      <w:pPr>
        <w:pStyle w:val="Heading2"/>
      </w:pPr>
      <w:r>
        <w:t>SS/PBCH block structure</w:t>
      </w:r>
    </w:p>
    <w:tbl>
      <w:tblPr>
        <w:tblStyle w:val="TableGrid"/>
        <w:tblW w:w="0" w:type="auto"/>
        <w:tblLook w:val="04A0" w:firstRow="1" w:lastRow="0" w:firstColumn="1" w:lastColumn="0" w:noHBand="0" w:noVBand="1"/>
      </w:tblPr>
      <w:tblGrid>
        <w:gridCol w:w="9631"/>
      </w:tblGrid>
      <w:tr w:rsidR="00367D6B" w:rsidTr="00367D6B">
        <w:tc>
          <w:tcPr>
            <w:tcW w:w="9631" w:type="dxa"/>
          </w:tcPr>
          <w:p w:rsidR="00367D6B" w:rsidRPr="009B3521" w:rsidRDefault="00367D6B" w:rsidP="00367D6B">
            <w:pPr>
              <w:rPr>
                <w:rFonts w:ascii="Times New Roman" w:hAnsi="Times New Roman"/>
                <w:lang w:eastAsia="x-none"/>
              </w:rPr>
            </w:pPr>
            <w:r w:rsidRPr="009B3521">
              <w:rPr>
                <w:rFonts w:ascii="Times New Roman" w:hAnsi="Times New Roman"/>
                <w:highlight w:val="green"/>
                <w:lang w:eastAsia="x-none"/>
              </w:rPr>
              <w:t>Agreement:</w:t>
            </w:r>
            <w:r>
              <w:rPr>
                <w:rFonts w:ascii="Times New Roman" w:hAnsi="Times New Roman"/>
                <w:lang w:eastAsia="x-none"/>
              </w:rPr>
              <w:t xml:space="preserve"> (RAN1 AH1901)</w:t>
            </w:r>
          </w:p>
          <w:p w:rsidR="00367D6B" w:rsidRPr="009B3521" w:rsidRDefault="00367D6B" w:rsidP="00367D6B">
            <w:pPr>
              <w:rPr>
                <w:rFonts w:ascii="Times New Roman" w:hAnsi="Times New Roman"/>
                <w:lang w:eastAsia="x-none"/>
              </w:rPr>
            </w:pPr>
            <w:r w:rsidRPr="009B3521">
              <w:rPr>
                <w:rFonts w:ascii="Times New Roman" w:hAnsi="Times New Roman"/>
                <w:lang w:eastAsia="x-none"/>
              </w:rPr>
              <w:t>The Type0-PDCCH monitoring configuration for NR-U should satisfy at least the following properties:</w:t>
            </w:r>
          </w:p>
          <w:p w:rsidR="00367D6B" w:rsidRPr="009B3521" w:rsidRDefault="00367D6B" w:rsidP="00367D6B">
            <w:pPr>
              <w:numPr>
                <w:ilvl w:val="0"/>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TDM of Type0-PDCCH and SSB similar to existing pattern 1 (already agreed)</w:t>
            </w:r>
          </w:p>
          <w:p w:rsidR="00367D6B" w:rsidRPr="009B3521" w:rsidRDefault="00367D6B" w:rsidP="00367D6B">
            <w:pPr>
              <w:numPr>
                <w:ilvl w:val="0"/>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Support the monitoring of Type0 PDCCH of the 2</w:t>
            </w:r>
            <w:r w:rsidRPr="009B3521">
              <w:rPr>
                <w:rFonts w:ascii="Times New Roman" w:hAnsi="Times New Roman"/>
                <w:vertAlign w:val="superscript"/>
                <w:lang w:eastAsia="x-none"/>
              </w:rPr>
              <w:t>nd</w:t>
            </w:r>
            <w:r w:rsidRPr="009B3521">
              <w:rPr>
                <w:rFonts w:ascii="Times New Roman" w:hAnsi="Times New Roman"/>
                <w:lang w:eastAsia="x-none"/>
              </w:rPr>
              <w:t xml:space="preserve"> SSB position in a slot in the gap between 1</w:t>
            </w:r>
            <w:r w:rsidRPr="009B3521">
              <w:rPr>
                <w:rFonts w:ascii="Times New Roman" w:hAnsi="Times New Roman"/>
                <w:vertAlign w:val="superscript"/>
                <w:lang w:eastAsia="x-none"/>
              </w:rPr>
              <w:t>st</w:t>
            </w:r>
            <w:r w:rsidRPr="009B3521">
              <w:rPr>
                <w:rFonts w:ascii="Times New Roman" w:hAnsi="Times New Roman"/>
                <w:lang w:eastAsia="x-none"/>
              </w:rPr>
              <w:t xml:space="preserve"> and 2</w:t>
            </w:r>
            <w:r w:rsidRPr="009B3521">
              <w:rPr>
                <w:rFonts w:ascii="Times New Roman" w:hAnsi="Times New Roman"/>
                <w:vertAlign w:val="superscript"/>
                <w:lang w:eastAsia="x-none"/>
              </w:rPr>
              <w:t>nd</w:t>
            </w:r>
            <w:r w:rsidRPr="009B3521">
              <w:rPr>
                <w:rFonts w:ascii="Times New Roman" w:hAnsi="Times New Roman"/>
                <w:lang w:eastAsia="x-none"/>
              </w:rPr>
              <w:t xml:space="preserve"> SSB within the slot</w:t>
            </w:r>
          </w:p>
          <w:p w:rsidR="00367D6B" w:rsidRPr="009B3521" w:rsidRDefault="00367D6B" w:rsidP="00367D6B">
            <w:pPr>
              <w:numPr>
                <w:ilvl w:val="1"/>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FFS start at symbol #6 of #7 or both</w:t>
            </w:r>
          </w:p>
          <w:p w:rsidR="00367D6B" w:rsidRPr="00367D6B" w:rsidRDefault="00367D6B" w:rsidP="00367D6B">
            <w:pPr>
              <w:numPr>
                <w:ilvl w:val="0"/>
                <w:numId w:val="37"/>
              </w:numPr>
              <w:overflowPunct/>
              <w:autoSpaceDE/>
              <w:autoSpaceDN/>
              <w:adjustRightInd/>
              <w:spacing w:after="0"/>
              <w:textAlignment w:val="auto"/>
              <w:rPr>
                <w:rFonts w:ascii="Times New Roman" w:hAnsi="Times New Roman"/>
                <w:lang w:eastAsia="x-none"/>
              </w:rPr>
            </w:pPr>
            <w:r w:rsidRPr="009B3521">
              <w:rPr>
                <w:rFonts w:ascii="Times New Roman" w:hAnsi="Times New Roman"/>
                <w:lang w:eastAsia="x-none"/>
              </w:rPr>
              <w:t>FFS: The Type0-PDCCH candidates associated with an SSB are confined within a slot carrying the associated SSB (with the same QCL assumptions)</w:t>
            </w:r>
          </w:p>
        </w:tc>
      </w:tr>
    </w:tbl>
    <w:p w:rsidR="00367D6B" w:rsidRDefault="00367D6B" w:rsidP="00367D6B"/>
    <w:tbl>
      <w:tblPr>
        <w:tblStyle w:val="TableGrid"/>
        <w:tblW w:w="0" w:type="auto"/>
        <w:tblLook w:val="04A0" w:firstRow="1" w:lastRow="0" w:firstColumn="1" w:lastColumn="0" w:noHBand="0" w:noVBand="1"/>
      </w:tblPr>
      <w:tblGrid>
        <w:gridCol w:w="9631"/>
      </w:tblGrid>
      <w:tr w:rsidR="00C6593E" w:rsidTr="00C6593E">
        <w:tc>
          <w:tcPr>
            <w:tcW w:w="9631" w:type="dxa"/>
          </w:tcPr>
          <w:p w:rsidR="00C6593E" w:rsidRPr="000D326C" w:rsidRDefault="00C6593E" w:rsidP="00C6593E">
            <w:pPr>
              <w:rPr>
                <w:rFonts w:ascii="Times New Roman" w:hAnsi="Times New Roman"/>
                <w:lang w:eastAsia="x-none"/>
              </w:rPr>
            </w:pPr>
            <w:r w:rsidRPr="000D326C">
              <w:rPr>
                <w:rFonts w:ascii="Times New Roman" w:hAnsi="Times New Roman"/>
                <w:highlight w:val="green"/>
                <w:lang w:eastAsia="x-none"/>
              </w:rPr>
              <w:t>Agreement:</w:t>
            </w:r>
            <w:r w:rsidRPr="000D326C">
              <w:rPr>
                <w:rFonts w:ascii="Times New Roman" w:hAnsi="Times New Roman"/>
                <w:lang w:eastAsia="x-none"/>
              </w:rPr>
              <w:t xml:space="preserve"> (RAN1 #96)</w:t>
            </w:r>
          </w:p>
          <w:p w:rsidR="00C6593E" w:rsidRPr="000D326C" w:rsidRDefault="00C6593E" w:rsidP="00C6593E">
            <w:pPr>
              <w:numPr>
                <w:ilvl w:val="0"/>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Down-select from the following options for SSB pattern (symbol index starts at 0)</w:t>
            </w:r>
          </w:p>
          <w:p w:rsidR="00C6593E" w:rsidRPr="000D326C" w:rsidRDefault="00C6593E" w:rsidP="00C6593E">
            <w:pPr>
              <w:numPr>
                <w:ilvl w:val="1"/>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Option 1: SSBs are at symbols (2,3,4,5) and (8,9,10,11) in the slot</w:t>
            </w:r>
          </w:p>
          <w:p w:rsidR="00C6593E" w:rsidRPr="000D326C" w:rsidRDefault="00C6593E" w:rsidP="00C6593E">
            <w:pPr>
              <w:numPr>
                <w:ilvl w:val="1"/>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Option 2: SSBs are at symbols (2,3,4,5) and (9,10,11,12) in the slot</w:t>
            </w:r>
          </w:p>
          <w:p w:rsidR="00C6593E" w:rsidRPr="00C6593E" w:rsidRDefault="00C6593E" w:rsidP="00C6593E">
            <w:pPr>
              <w:numPr>
                <w:ilvl w:val="0"/>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The down-selected pattern applies no matter if SSB SCS is indicated by higher layer or not, and no matter if RMSI is transmitted or not.</w:t>
            </w:r>
          </w:p>
        </w:tc>
      </w:tr>
    </w:tbl>
    <w:p w:rsidR="00C6593E" w:rsidRPr="00367D6B" w:rsidRDefault="00C6593E" w:rsidP="00367D6B"/>
    <w:p w:rsidR="00916AC2" w:rsidRDefault="00916AC2" w:rsidP="00916AC2">
      <w:pPr>
        <w:jc w:val="both"/>
        <w:rPr>
          <w:lang w:val="en-GB" w:eastAsia="zh-CN"/>
        </w:rPr>
      </w:pPr>
      <w:r>
        <w:rPr>
          <w:lang w:val="en-GB" w:eastAsia="zh-CN"/>
        </w:rPr>
        <w:t xml:space="preserve">The DRS shift granularity has not yet been </w:t>
      </w:r>
      <w:r w:rsidR="000E0241">
        <w:rPr>
          <w:lang w:val="en-GB" w:eastAsia="zh-CN"/>
        </w:rPr>
        <w:t>agreed</w:t>
      </w:r>
      <w:r>
        <w:rPr>
          <w:lang w:val="en-GB" w:eastAsia="zh-CN"/>
        </w:rPr>
        <w:t>. However, since one SS/PBCH block is allocated in each half slot, it is intuitive to assume that the DRS shift granularity is half slot. This implies DRS may be transmitted from the middle of a slot. In this case, there is only one symbol that can be allocated for PDCCH transmission in the beginning of the second half slot in Case A and Case C. Therefore, we propose that the SS/PBCH symbol positions should be changed from (8, 9, 10, 11) to (9, 10, 11, 12) to have a same SS/PBCH block structure in any half slot.</w:t>
      </w:r>
      <w:r w:rsidR="004529B6">
        <w:rPr>
          <w:lang w:val="en-GB" w:eastAsia="zh-CN"/>
        </w:rPr>
        <w:t xml:space="preserve"> In other words, we think Option 2 should be supported so that SSBs are at symbols (2, 3, 4, 5) and (9, 10, 11, 12) in a slot. </w:t>
      </w:r>
      <w:r>
        <w:rPr>
          <w:lang w:val="en-GB" w:eastAsia="zh-CN"/>
        </w:rPr>
        <w:t xml:space="preserve"> </w:t>
      </w:r>
    </w:p>
    <w:p w:rsidR="00916AC2" w:rsidRPr="00637486" w:rsidRDefault="00916AC2" w:rsidP="00916AC2">
      <w:pPr>
        <w:pStyle w:val="Caption"/>
      </w:pPr>
      <w:bookmarkStart w:id="2" w:name="_Ref1154833"/>
      <w:r>
        <w:t xml:space="preserve">Proposal </w:t>
      </w:r>
      <w:r w:rsidR="00B76CFB">
        <w:fldChar w:fldCharType="begin"/>
      </w:r>
      <w:r w:rsidR="00B76CFB">
        <w:instrText xml:space="preserve"> SEQ Proposal \* ARABIC </w:instrText>
      </w:r>
      <w:r w:rsidR="00B76CFB">
        <w:fldChar w:fldCharType="separate"/>
      </w:r>
      <w:r w:rsidR="00555C66">
        <w:rPr>
          <w:noProof/>
        </w:rPr>
        <w:t>1</w:t>
      </w:r>
      <w:r w:rsidR="00B76CFB">
        <w:rPr>
          <w:noProof/>
        </w:rPr>
        <w:fldChar w:fldCharType="end"/>
      </w:r>
      <w:r>
        <w:t xml:space="preserve">: </w:t>
      </w:r>
      <w:r w:rsidR="00181FE1">
        <w:t xml:space="preserve">In NR-U, </w:t>
      </w:r>
      <w:r w:rsidR="00965582">
        <w:t xml:space="preserve">SS/PBCH blocks </w:t>
      </w:r>
      <w:r w:rsidR="00181FE1">
        <w:t>should be</w:t>
      </w:r>
      <w:r w:rsidR="00965582">
        <w:t xml:space="preserve"> located symbol</w:t>
      </w:r>
      <w:r w:rsidR="00EC35C4">
        <w:t>s</w:t>
      </w:r>
      <w:r w:rsidR="00965582">
        <w:t xml:space="preserve"> (2, 3, 4, 5) and (9</w:t>
      </w:r>
      <w:r w:rsidR="00181FE1">
        <w:t xml:space="preserve">, 10, 11, 12) in a </w:t>
      </w:r>
      <w:r w:rsidR="00702013">
        <w:t>slot</w:t>
      </w:r>
      <w:r w:rsidR="00965582">
        <w:t xml:space="preserve">. </w:t>
      </w:r>
      <w:bookmarkEnd w:id="2"/>
    </w:p>
    <w:p w:rsidR="00916AC2" w:rsidRDefault="00916AC2" w:rsidP="00916AC2"/>
    <w:p w:rsidR="00916AC2" w:rsidRPr="00613103" w:rsidRDefault="00916AC2" w:rsidP="00916AC2">
      <w:pPr>
        <w:pStyle w:val="Heading2"/>
      </w:pPr>
      <w:r>
        <w:lastRenderedPageBreak/>
        <w:t>Type0-PDCCH Configuration</w:t>
      </w:r>
    </w:p>
    <w:tbl>
      <w:tblPr>
        <w:tblStyle w:val="TableGrid"/>
        <w:tblW w:w="0" w:type="auto"/>
        <w:tblLook w:val="04A0" w:firstRow="1" w:lastRow="0" w:firstColumn="1" w:lastColumn="0" w:noHBand="0" w:noVBand="1"/>
      </w:tblPr>
      <w:tblGrid>
        <w:gridCol w:w="9631"/>
      </w:tblGrid>
      <w:tr w:rsidR="00F314F4" w:rsidTr="00F314F4">
        <w:tc>
          <w:tcPr>
            <w:tcW w:w="9631" w:type="dxa"/>
          </w:tcPr>
          <w:p w:rsidR="00F314F4" w:rsidRPr="000D326C" w:rsidRDefault="00F314F4" w:rsidP="00F314F4">
            <w:pPr>
              <w:rPr>
                <w:rFonts w:ascii="Times New Roman" w:hAnsi="Times New Roman"/>
                <w:lang w:eastAsia="x-none"/>
              </w:rPr>
            </w:pPr>
            <w:r w:rsidRPr="000D326C">
              <w:rPr>
                <w:rFonts w:ascii="Times New Roman" w:hAnsi="Times New Roman"/>
                <w:highlight w:val="green"/>
                <w:lang w:eastAsia="x-none"/>
              </w:rPr>
              <w:t>Agreement:</w:t>
            </w:r>
            <w:r>
              <w:rPr>
                <w:rFonts w:ascii="Times New Roman" w:hAnsi="Times New Roman"/>
                <w:lang w:eastAsia="x-none"/>
              </w:rPr>
              <w:t xml:space="preserve"> (RAN1 #96)</w:t>
            </w:r>
          </w:p>
          <w:p w:rsidR="00F314F4" w:rsidRDefault="00F314F4" w:rsidP="00F314F4">
            <w:pPr>
              <w:numPr>
                <w:ilvl w:val="0"/>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The SCS for all SSBs and Coreset #0 on a carrier is always the same for operation of NR in unlicensed spectrum.</w:t>
            </w:r>
          </w:p>
          <w:p w:rsidR="00F314F4" w:rsidRPr="00F314F4" w:rsidRDefault="00F314F4" w:rsidP="00916AC2">
            <w:pPr>
              <w:numPr>
                <w:ilvl w:val="0"/>
                <w:numId w:val="37"/>
              </w:numPr>
              <w:overflowPunct/>
              <w:autoSpaceDE/>
              <w:autoSpaceDN/>
              <w:adjustRightInd/>
              <w:spacing w:after="0"/>
              <w:textAlignment w:val="auto"/>
              <w:rPr>
                <w:rFonts w:ascii="Times New Roman" w:hAnsi="Times New Roman"/>
                <w:lang w:eastAsia="x-none"/>
              </w:rPr>
            </w:pPr>
            <w:r w:rsidRPr="000D326C">
              <w:rPr>
                <w:rFonts w:ascii="Times New Roman" w:hAnsi="Times New Roman"/>
                <w:lang w:eastAsia="x-none"/>
              </w:rPr>
              <w:t>CORESET #0 frequency domain resource configuration should be 48 RBs for 30KHz SCS and 96 RBs for 15KHz SCS.</w:t>
            </w:r>
          </w:p>
        </w:tc>
      </w:tr>
    </w:tbl>
    <w:p w:rsidR="00F314F4" w:rsidRDefault="00F314F4" w:rsidP="00916AC2"/>
    <w:tbl>
      <w:tblPr>
        <w:tblStyle w:val="TableGrid"/>
        <w:tblW w:w="0" w:type="auto"/>
        <w:tblLook w:val="04A0" w:firstRow="1" w:lastRow="0" w:firstColumn="1" w:lastColumn="0" w:noHBand="0" w:noVBand="1"/>
      </w:tblPr>
      <w:tblGrid>
        <w:gridCol w:w="9631"/>
      </w:tblGrid>
      <w:tr w:rsidR="0001604C" w:rsidTr="0001604C">
        <w:tc>
          <w:tcPr>
            <w:tcW w:w="9631" w:type="dxa"/>
          </w:tcPr>
          <w:p w:rsidR="0001604C" w:rsidRPr="00B166B4" w:rsidRDefault="0001604C" w:rsidP="0001604C">
            <w:pPr>
              <w:rPr>
                <w:rFonts w:ascii="Times New Roman" w:hAnsi="Times New Roman"/>
                <w:lang w:eastAsia="x-none"/>
              </w:rPr>
            </w:pPr>
            <w:r w:rsidRPr="00B166B4">
              <w:rPr>
                <w:rFonts w:ascii="Times New Roman" w:hAnsi="Times New Roman"/>
                <w:highlight w:val="green"/>
                <w:lang w:eastAsia="x-none"/>
              </w:rPr>
              <w:t>Agreement:</w:t>
            </w:r>
            <w:r w:rsidRPr="00B166B4">
              <w:rPr>
                <w:rFonts w:ascii="Times New Roman" w:hAnsi="Times New Roman"/>
                <w:lang w:eastAsia="x-none"/>
              </w:rPr>
              <w:t xml:space="preserve"> </w:t>
            </w:r>
            <w:r>
              <w:rPr>
                <w:rFonts w:ascii="Times New Roman" w:hAnsi="Times New Roman"/>
                <w:lang w:eastAsia="x-none"/>
              </w:rPr>
              <w:t>(RAN1 AH1901)</w:t>
            </w:r>
          </w:p>
          <w:p w:rsidR="0001604C" w:rsidRPr="00B166B4" w:rsidRDefault="0001604C" w:rsidP="0001604C">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UE assumes 30KHz SCS for SS/PBCH block for 5GHz band and 6GHz band if the SCS is not indicated by higher layers.</w:t>
            </w:r>
          </w:p>
          <w:p w:rsidR="0001604C" w:rsidRDefault="0001604C" w:rsidP="0001604C">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Support configuration by higher layers of 15KHz or 30KHz SCS for SS/PBCH block</w:t>
            </w:r>
          </w:p>
          <w:p w:rsidR="0001604C" w:rsidRPr="0001604C" w:rsidRDefault="0001604C" w:rsidP="00916AC2">
            <w:pPr>
              <w:numPr>
                <w:ilvl w:val="0"/>
                <w:numId w:val="36"/>
              </w:numPr>
              <w:overflowPunct/>
              <w:autoSpaceDE/>
              <w:autoSpaceDN/>
              <w:adjustRightInd/>
              <w:spacing w:after="0"/>
              <w:textAlignment w:val="auto"/>
              <w:rPr>
                <w:rFonts w:ascii="Times New Roman" w:hAnsi="Times New Roman"/>
                <w:lang w:eastAsia="x-none"/>
              </w:rPr>
            </w:pPr>
            <w:r w:rsidRPr="00B166B4">
              <w:rPr>
                <w:rFonts w:ascii="Times New Roman" w:hAnsi="Times New Roman"/>
                <w:lang w:eastAsia="x-none"/>
              </w:rPr>
              <w:t>Include this agreement in a LS to RAN4 (cc RAN2) for inclusion in specs managed by RAN4</w:t>
            </w:r>
          </w:p>
        </w:tc>
      </w:tr>
    </w:tbl>
    <w:p w:rsidR="0001604C" w:rsidRDefault="0001604C" w:rsidP="00916AC2"/>
    <w:p w:rsidR="004C6D5C" w:rsidRDefault="00916AC2" w:rsidP="00916AC2">
      <w:r>
        <w:t xml:space="preserve">In NR, </w:t>
      </w:r>
      <w:r w:rsidR="004C6D5C">
        <w:t xml:space="preserve">both CORESET configuration and search space configuration for Type-0 PDCCH are carried by PBCH. In NR-U, we think a similar mechanism shall be supported so that Type0-PDCCH and RMSI can be transmitted in different slots than SS/PBCH block transmission. </w:t>
      </w:r>
    </w:p>
    <w:p w:rsidR="004C6D5C" w:rsidRDefault="004C6D5C" w:rsidP="004C6D5C">
      <w:pPr>
        <w:pStyle w:val="Caption"/>
      </w:pPr>
      <w:bookmarkStart w:id="3" w:name="_Ref4680467"/>
      <w:r>
        <w:t xml:space="preserve">Proposal </w:t>
      </w:r>
      <w:r w:rsidR="00B76CFB">
        <w:fldChar w:fldCharType="begin"/>
      </w:r>
      <w:r w:rsidR="00B76CFB">
        <w:instrText xml:space="preserve"> SEQ Proposal \* ARABIC </w:instrText>
      </w:r>
      <w:r w:rsidR="00B76CFB">
        <w:fldChar w:fldCharType="separate"/>
      </w:r>
      <w:r w:rsidR="00555C66">
        <w:rPr>
          <w:noProof/>
        </w:rPr>
        <w:t>2</w:t>
      </w:r>
      <w:r w:rsidR="00B76CFB">
        <w:rPr>
          <w:noProof/>
        </w:rPr>
        <w:fldChar w:fldCharType="end"/>
      </w:r>
      <w:r>
        <w:t>: Similar to NR, NR-U supports that both CORESET and search space con</w:t>
      </w:r>
      <w:r w:rsidR="00D120AF">
        <w:t>figurations for Type-0 PDCCH to be</w:t>
      </w:r>
      <w:r>
        <w:t xml:space="preserve"> carried by PBCH.</w:t>
      </w:r>
      <w:bookmarkEnd w:id="3"/>
      <w:r>
        <w:t xml:space="preserve"> </w:t>
      </w:r>
    </w:p>
    <w:p w:rsidR="00E07ECA" w:rsidRPr="00E07ECA" w:rsidRDefault="00E07ECA" w:rsidP="001618DF">
      <w:pPr>
        <w:pStyle w:val="Caption"/>
      </w:pPr>
    </w:p>
    <w:p w:rsidR="000E2456" w:rsidRDefault="000E2456" w:rsidP="000E2456">
      <w:pPr>
        <w:pStyle w:val="Heading2"/>
      </w:pPr>
      <w:r w:rsidRPr="000E2456">
        <w:t>DL transmission indicator in NR-U DRS for UE power saving</w:t>
      </w:r>
    </w:p>
    <w:p w:rsidR="00DF11E6" w:rsidRDefault="00DF11E6" w:rsidP="00391C3B">
      <w:pPr>
        <w:jc w:val="both"/>
      </w:pPr>
      <w:r>
        <w:t xml:space="preserve">Several proposals for initial signal design have been identified in </w:t>
      </w:r>
      <w:r>
        <w:fldChar w:fldCharType="begin"/>
      </w:r>
      <w:r>
        <w:instrText xml:space="preserve"> REF _Ref534984474 \n \h </w:instrText>
      </w:r>
      <w:r w:rsidR="00391C3B">
        <w:instrText xml:space="preserve"> \* MERGEFORMAT </w:instrText>
      </w:r>
      <w:r>
        <w:fldChar w:fldCharType="separate"/>
      </w:r>
      <w:r w:rsidR="00555C66">
        <w:t>[2]</w:t>
      </w:r>
      <w:r>
        <w:fldChar w:fldCharType="end"/>
      </w:r>
      <w:r>
        <w:t xml:space="preserve"> that would allow an UE to detect the starting point of a DL transmission. This feature certainly reduces the UE receiver complexity. However, in terms of UE power saving, it still needs an always on RF chain for the detection of initial signal or preamble.</w:t>
      </w:r>
    </w:p>
    <w:p w:rsidR="00DF11E6" w:rsidRPr="00A32856" w:rsidRDefault="00DF11E6" w:rsidP="00391C3B">
      <w:pPr>
        <w:jc w:val="both"/>
      </w:pPr>
      <w:r>
        <w:t xml:space="preserve">For NR operation in the licensed band, an UE typically spends more than 50% of time in sleep modes (including deep sleep, light sleep, and micro sleep mode), depending on traffic types </w:t>
      </w:r>
      <w:r>
        <w:fldChar w:fldCharType="begin"/>
      </w:r>
      <w:r>
        <w:instrText xml:space="preserve"> REF _Ref528932384 \n \h </w:instrText>
      </w:r>
      <w:r w:rsidR="00391C3B">
        <w:instrText xml:space="preserve"> \* MERGEFORMAT </w:instrText>
      </w:r>
      <w:r>
        <w:fldChar w:fldCharType="separate"/>
      </w:r>
      <w:r w:rsidR="00555C66">
        <w:t>[3]</w:t>
      </w:r>
      <w:r>
        <w:fldChar w:fldCharType="end"/>
      </w:r>
      <w:r>
        <w:t>. When in sleep modes, an UE consumes little power since the RF unit is either turned off or operating at a lower clock rate.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into account the effect of LBT on various traffic models. In addition, during the DRX on-time, the UE should be monitoring the initial signal (or preamble) instead of PDCCH.</w:t>
      </w:r>
    </w:p>
    <w:p w:rsidR="00DF11E6" w:rsidRDefault="00DF11E6" w:rsidP="00391C3B">
      <w:pPr>
        <w:jc w:val="both"/>
      </w:pPr>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 This is illustrated in</w:t>
      </w:r>
      <w:r w:rsidR="00922E81">
        <w:t xml:space="preserve"> </w:t>
      </w:r>
      <w:r w:rsidR="00922E81">
        <w:fldChar w:fldCharType="begin"/>
      </w:r>
      <w:r w:rsidR="00922E81">
        <w:instrText xml:space="preserve"> REF _Ref535043998 \h </w:instrText>
      </w:r>
      <w:r w:rsidR="00922E81">
        <w:fldChar w:fldCharType="separate"/>
      </w:r>
      <w:r w:rsidR="00555C66">
        <w:t xml:space="preserve">Figure </w:t>
      </w:r>
      <w:r w:rsidR="00555C66">
        <w:rPr>
          <w:noProof/>
        </w:rPr>
        <w:t>1</w:t>
      </w:r>
      <w:r w:rsidR="00922E81">
        <w:fldChar w:fldCharType="end"/>
      </w:r>
      <w:r>
        <w:t>. An UE configured with DRX would then operate as follow:</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not present at the pre-configured location, the UE operates according to DRX configuration in the following time interval.</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a DL transmission is scheduled for the UE in the following time interval, the UE would start to monitor for the initial signal or preamble for DL transmission COT detection.</w:t>
      </w:r>
    </w:p>
    <w:p w:rsidR="00DF11E6" w:rsidRPr="00FD61C1"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no DL transmission is scheduled for the UE in the following time interval, the UE would stay inactive within the following time interval, even during the preconfigured DRX on-time.</w:t>
      </w:r>
    </w:p>
    <w:p w:rsidR="00DF11E6" w:rsidRDefault="00DF11E6" w:rsidP="00391C3B">
      <w:pPr>
        <w:jc w:val="both"/>
      </w:pPr>
      <w:r>
        <w:t xml:space="preserve">From gNB’s perspective, the DL transmission indicator enables more flexible resource scheduling, and the overall resource utilization efficiency and latency could be improved. For the UE, the indicator helps to further reduce power </w:t>
      </w:r>
      <w:r>
        <w:lastRenderedPageBreak/>
        <w:t xml:space="preserve">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rsidR="00296E67" w:rsidRDefault="00DF11E6" w:rsidP="00391C3B">
      <w:pPr>
        <w:jc w:val="both"/>
      </w:pPr>
      <w:r>
        <w:t>To avoid extra LBT overhead, the DL transmission indicator could be transmitted with other periodic signals, such as NR-U DRS.</w:t>
      </w:r>
    </w:p>
    <w:p w:rsidR="004A11C3" w:rsidRDefault="002615A0" w:rsidP="002615A0">
      <w:pPr>
        <w:pStyle w:val="Caption"/>
        <w:rPr>
          <w:rFonts w:eastAsia="SimSun"/>
          <w:b w:val="0"/>
          <w:lang w:eastAsia="zh-CN"/>
        </w:rPr>
      </w:pPr>
      <w:bookmarkStart w:id="4" w:name="_Ref535048270"/>
      <w:r>
        <w:t xml:space="preserve">Proposal </w:t>
      </w:r>
      <w:r w:rsidR="00B76CFB">
        <w:fldChar w:fldCharType="begin"/>
      </w:r>
      <w:r w:rsidR="00B76CFB">
        <w:instrText xml:space="preserve"> SEQ Proposal \* ARABIC </w:instrText>
      </w:r>
      <w:r w:rsidR="00B76CFB">
        <w:fldChar w:fldCharType="separate"/>
      </w:r>
      <w:r w:rsidR="00555C66">
        <w:rPr>
          <w:noProof/>
        </w:rPr>
        <w:t>3</w:t>
      </w:r>
      <w:r w:rsidR="00B76CFB">
        <w:rPr>
          <w:noProof/>
        </w:rPr>
        <w:fldChar w:fldCharType="end"/>
      </w:r>
      <w:r w:rsidR="004A11C3" w:rsidRPr="00782710">
        <w:rPr>
          <w:rFonts w:eastAsia="SimSun"/>
          <w:lang w:eastAsia="zh-CN"/>
        </w:rPr>
        <w:t>:</w:t>
      </w:r>
      <w:r w:rsidR="004A11C3">
        <w:rPr>
          <w:rFonts w:eastAsia="SimSun"/>
          <w:lang w:eastAsia="zh-CN"/>
        </w:rPr>
        <w:t xml:space="preserve"> NR-U supports DL transmission indicator for UE power saving and to avoid missing PDSCH due to DRX. The DL transmission indicator could be transmitted within NR-U DRS to avoid LBT overhead.</w:t>
      </w:r>
      <w:bookmarkEnd w:id="4"/>
    </w:p>
    <w:p w:rsidR="00391C3B" w:rsidRDefault="00391C3B" w:rsidP="00391C3B">
      <w:pPr>
        <w:jc w:val="both"/>
        <w:rPr>
          <w:rFonts w:eastAsia="SimSun"/>
          <w:b/>
          <w:lang w:eastAsia="zh-CN"/>
        </w:rPr>
      </w:pPr>
    </w:p>
    <w:p w:rsidR="00324391" w:rsidRPr="00324391" w:rsidRDefault="00324391" w:rsidP="00324391">
      <w:pPr>
        <w:rPr>
          <w:rFonts w:eastAsia="SimSun"/>
          <w:b/>
          <w:lang w:eastAsia="zh-CN"/>
        </w:rPr>
      </w:pPr>
      <w:r>
        <w:rPr>
          <w:noProof/>
          <w:lang w:eastAsia="zh-TW"/>
        </w:rPr>
        <w:drawing>
          <wp:inline distT="0" distB="0" distL="0" distR="0" wp14:anchorId="48817490" wp14:editId="2961A449">
            <wp:extent cx="6122035" cy="2348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348457"/>
                    </a:xfrm>
                    <a:prstGeom prst="rect">
                      <a:avLst/>
                    </a:prstGeom>
                    <a:noFill/>
                  </pic:spPr>
                </pic:pic>
              </a:graphicData>
            </a:graphic>
          </wp:inline>
        </w:drawing>
      </w:r>
    </w:p>
    <w:p w:rsidR="004A11C3" w:rsidRPr="003960B0" w:rsidRDefault="00922E81" w:rsidP="00922E81">
      <w:pPr>
        <w:pStyle w:val="Caption"/>
        <w:jc w:val="center"/>
        <w:rPr>
          <w:bCs/>
        </w:rPr>
      </w:pPr>
      <w:bookmarkStart w:id="5" w:name="_Ref528932448"/>
      <w:bookmarkStart w:id="6" w:name="_Ref535043998"/>
      <w:bookmarkEnd w:id="5"/>
      <w:r>
        <w:t xml:space="preserve">Figure </w:t>
      </w:r>
      <w:r w:rsidR="00B76CFB">
        <w:fldChar w:fldCharType="begin"/>
      </w:r>
      <w:r w:rsidR="00B76CFB">
        <w:instrText xml:space="preserve"> SEQ Figure \* ARABIC </w:instrText>
      </w:r>
      <w:r w:rsidR="00B76CFB">
        <w:fldChar w:fldCharType="separate"/>
      </w:r>
      <w:r w:rsidR="00555C66">
        <w:rPr>
          <w:noProof/>
        </w:rPr>
        <w:t>1</w:t>
      </w:r>
      <w:r w:rsidR="00B76CFB">
        <w:rPr>
          <w:noProof/>
        </w:rPr>
        <w:fldChar w:fldCharType="end"/>
      </w:r>
      <w:bookmarkEnd w:id="6"/>
      <w:r w:rsidR="004A11C3">
        <w:t>: DRX and DL Transmission Indicator for NR-U operation</w:t>
      </w:r>
    </w:p>
    <w:p w:rsidR="004A11C3" w:rsidRPr="004A11C3" w:rsidRDefault="004A11C3" w:rsidP="00DF11E6"/>
    <w:p w:rsidR="00DC1298" w:rsidRDefault="00E161B9" w:rsidP="00E161B9">
      <w:pPr>
        <w:pStyle w:val="Heading1"/>
      </w:pPr>
      <w:r w:rsidRPr="00E161B9">
        <w:t>P</w:t>
      </w:r>
      <w:r w:rsidR="00B0417A">
        <w:t>RACH D</w:t>
      </w:r>
      <w:r w:rsidRPr="00E161B9">
        <w:t>esi</w:t>
      </w:r>
      <w:r w:rsidR="00B0417A">
        <w:t>gn C</w:t>
      </w:r>
      <w:r w:rsidRPr="00E161B9">
        <w:t>onsideration</w:t>
      </w:r>
      <w:r w:rsidR="007B68E5">
        <w:t>s</w:t>
      </w:r>
    </w:p>
    <w:p w:rsidR="00953779" w:rsidRDefault="00953779" w:rsidP="0035390A">
      <w:pPr>
        <w:jc w:val="both"/>
      </w:pPr>
      <w:r>
        <w:t xml:space="preserve">If PRACH in NR-U is to be frequency multiplexed with PUSCH, it also needs to have the same B-IFDMA structure. However, the correlation properties of any signal with B-IFDMA structure are generally poor. </w:t>
      </w:r>
      <w:r>
        <w:fldChar w:fldCharType="begin"/>
      </w:r>
      <w:r>
        <w:instrText xml:space="preserve"> REF _Ref534811119 \h </w:instrText>
      </w:r>
      <w:r w:rsidR="0035390A">
        <w:instrText xml:space="preserve"> \* MERGEFORMAT </w:instrText>
      </w:r>
      <w:r>
        <w:fldChar w:fldCharType="separate"/>
      </w:r>
      <w:r w:rsidR="00555C66">
        <w:t xml:space="preserve">Figure </w:t>
      </w:r>
      <w:r w:rsidR="00555C66">
        <w:rPr>
          <w:noProof/>
        </w:rPr>
        <w:t>2</w:t>
      </w:r>
      <w:r>
        <w:fldChar w:fldCharType="end"/>
      </w:r>
      <w:r>
        <w:t xml:space="preserve"> shows the cyclic auto-correlation function of a block-interleaved Zadoff-Chu sequence where a length-113 Zadoff-Chu sequence is cyclically extended to length-120 and mapped to one interlace. The envelope of the correlation follows that of a signal with a bandwidth that is only 1/12 of the whole bandwidth, as evidenced by the nulls that occurs once every 1/12 symbol length. That is, the resolution of timing estimate for this signal is only 1/12 of the bandwidth it occupies.</w:t>
      </w:r>
    </w:p>
    <w:p w:rsidR="005C4656" w:rsidRDefault="00953779" w:rsidP="0035390A">
      <w:pPr>
        <w:pStyle w:val="Caption"/>
        <w:jc w:val="both"/>
      </w:pPr>
      <w:bookmarkStart w:id="7" w:name="_Ref535048222"/>
      <w:r>
        <w:t xml:space="preserve">Observation </w:t>
      </w:r>
      <w:r w:rsidR="00F25634">
        <w:rPr>
          <w:noProof/>
        </w:rPr>
        <w:fldChar w:fldCharType="begin"/>
      </w:r>
      <w:r w:rsidR="00F25634">
        <w:rPr>
          <w:noProof/>
        </w:rPr>
        <w:instrText xml:space="preserve"> SEQ Observation \* ARABIC </w:instrText>
      </w:r>
      <w:r w:rsidR="00F25634">
        <w:rPr>
          <w:noProof/>
        </w:rPr>
        <w:fldChar w:fldCharType="separate"/>
      </w:r>
      <w:r w:rsidR="00555C66">
        <w:rPr>
          <w:noProof/>
        </w:rPr>
        <w:t>1</w:t>
      </w:r>
      <w:r w:rsidR="00F25634">
        <w:rPr>
          <w:noProof/>
        </w:rPr>
        <w:fldChar w:fldCharType="end"/>
      </w:r>
      <w:r>
        <w:t>: Applying B-IFDMA structure to PRACH severely degrades the correlation properties of PRACH. In addition, the resolution of timing estimation is significantly reduced.</w:t>
      </w:r>
      <w:bookmarkEnd w:id="7"/>
      <w:r>
        <w:t xml:space="preserve">  </w:t>
      </w:r>
    </w:p>
    <w:p w:rsidR="00953779" w:rsidRDefault="00953779" w:rsidP="0035390A">
      <w:pPr>
        <w:jc w:val="both"/>
      </w:pPr>
      <w:r>
        <w:t xml:space="preserve">One potential improvement is to use a larger sub-carrier spacing without interlace and time division multiplex the PRACH with PUSCH (and other PRACH). The approach keeps the integrity of a good synchronization signal and is becoming more viable as NR has defined 30 kHz and 60 kHz sub-carrier spacing for sub-6 GHz band. However, this comes at the cost of additional LBT overhead. </w:t>
      </w:r>
    </w:p>
    <w:p w:rsidR="00953779" w:rsidRDefault="00953779" w:rsidP="00953779">
      <w:pPr>
        <w:jc w:val="center"/>
      </w:pPr>
      <w:r>
        <w:rPr>
          <w:noProof/>
          <w:lang w:eastAsia="zh-TW"/>
        </w:rPr>
        <w:lastRenderedPageBreak/>
        <w:drawing>
          <wp:inline distT="0" distB="0" distL="0" distR="0" wp14:anchorId="7654395B" wp14:editId="182959C3">
            <wp:extent cx="2980944" cy="2240280"/>
            <wp:effectExtent l="0" t="0" r="0" b="762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pic:spPr>
                </pic:pic>
              </a:graphicData>
            </a:graphic>
          </wp:inline>
        </w:drawing>
      </w:r>
    </w:p>
    <w:p w:rsidR="00953779" w:rsidRDefault="00953779" w:rsidP="00953779">
      <w:pPr>
        <w:pStyle w:val="Caption"/>
        <w:jc w:val="center"/>
      </w:pPr>
      <w:bookmarkStart w:id="8" w:name="_Ref534811119"/>
      <w:r>
        <w:t xml:space="preserve">Figure </w:t>
      </w:r>
      <w:r w:rsidR="00F25634">
        <w:rPr>
          <w:noProof/>
        </w:rPr>
        <w:fldChar w:fldCharType="begin"/>
      </w:r>
      <w:r w:rsidR="00F25634">
        <w:rPr>
          <w:noProof/>
        </w:rPr>
        <w:instrText xml:space="preserve"> SEQ Figure \* ARABIC </w:instrText>
      </w:r>
      <w:r w:rsidR="00F25634">
        <w:rPr>
          <w:noProof/>
        </w:rPr>
        <w:fldChar w:fldCharType="separate"/>
      </w:r>
      <w:r w:rsidR="00555C66">
        <w:rPr>
          <w:noProof/>
        </w:rPr>
        <w:t>2</w:t>
      </w:r>
      <w:r w:rsidR="00F25634">
        <w:rPr>
          <w:noProof/>
        </w:rPr>
        <w:fldChar w:fldCharType="end"/>
      </w:r>
      <w:bookmarkEnd w:id="8"/>
      <w:r>
        <w:t xml:space="preserve">: The </w:t>
      </w:r>
      <w:r w:rsidRPr="00FD2C9C">
        <w:t>cyclic auto-correlation function of a block-interleaved Zadoff-Chu sequence</w:t>
      </w:r>
    </w:p>
    <w:p w:rsidR="005C4656" w:rsidRDefault="005C4656" w:rsidP="00657654"/>
    <w:p w:rsidR="00657654" w:rsidRDefault="00CC1C63" w:rsidP="0035390A">
      <w:pPr>
        <w:jc w:val="both"/>
      </w:pPr>
      <w:r w:rsidRPr="00CC1C63">
        <w:t>Therefore, we believe that the PRACH for NR-U should meet the following properties:</w:t>
      </w:r>
    </w:p>
    <w:p w:rsidR="00657654" w:rsidRDefault="00657654" w:rsidP="0035390A">
      <w:pPr>
        <w:pStyle w:val="Caption"/>
        <w:jc w:val="both"/>
      </w:pPr>
      <w:bookmarkStart w:id="9" w:name="_Ref535048277"/>
      <w:r>
        <w:t xml:space="preserve">Proposal </w:t>
      </w:r>
      <w:r w:rsidR="00F25634">
        <w:rPr>
          <w:noProof/>
        </w:rPr>
        <w:fldChar w:fldCharType="begin"/>
      </w:r>
      <w:r w:rsidR="00F25634">
        <w:rPr>
          <w:noProof/>
        </w:rPr>
        <w:instrText xml:space="preserve"> SEQ Proposal \* ARABIC </w:instrText>
      </w:r>
      <w:r w:rsidR="00F25634">
        <w:rPr>
          <w:noProof/>
        </w:rPr>
        <w:fldChar w:fldCharType="separate"/>
      </w:r>
      <w:r w:rsidR="00555C66">
        <w:rPr>
          <w:noProof/>
        </w:rPr>
        <w:t>4</w:t>
      </w:r>
      <w:r w:rsidR="00F25634">
        <w:rPr>
          <w:noProof/>
        </w:rPr>
        <w:fldChar w:fldCharType="end"/>
      </w:r>
      <w:r>
        <w:t>: The following design principles shall be adopted for PRACH design in NR-U:</w:t>
      </w:r>
      <w:bookmarkEnd w:id="9"/>
      <w:r>
        <w:t xml:space="preserve"> </w:t>
      </w:r>
    </w:p>
    <w:p w:rsidR="00657654" w:rsidRDefault="00657654" w:rsidP="0035390A">
      <w:pPr>
        <w:pStyle w:val="Caption"/>
        <w:numPr>
          <w:ilvl w:val="0"/>
          <w:numId w:val="31"/>
        </w:numPr>
        <w:overflowPunct/>
        <w:autoSpaceDE/>
        <w:autoSpaceDN/>
        <w:adjustRightInd/>
        <w:spacing w:before="0"/>
        <w:jc w:val="both"/>
        <w:textAlignment w:val="auto"/>
      </w:pPr>
      <w:r>
        <w:t>Good correlation property</w:t>
      </w:r>
    </w:p>
    <w:p w:rsidR="00657654" w:rsidRDefault="00657654" w:rsidP="0035390A">
      <w:pPr>
        <w:pStyle w:val="Caption"/>
        <w:numPr>
          <w:ilvl w:val="0"/>
          <w:numId w:val="31"/>
        </w:numPr>
        <w:overflowPunct/>
        <w:autoSpaceDE/>
        <w:autoSpaceDN/>
        <w:adjustRightInd/>
        <w:spacing w:before="0"/>
        <w:jc w:val="both"/>
        <w:textAlignment w:val="auto"/>
      </w:pPr>
      <w:r>
        <w:t>Providing a large number of sequences</w:t>
      </w:r>
    </w:p>
    <w:p w:rsidR="00657654" w:rsidRDefault="00657654" w:rsidP="0035390A">
      <w:pPr>
        <w:pStyle w:val="Caption"/>
        <w:numPr>
          <w:ilvl w:val="0"/>
          <w:numId w:val="31"/>
        </w:numPr>
        <w:overflowPunct/>
        <w:autoSpaceDE/>
        <w:autoSpaceDN/>
        <w:adjustRightInd/>
        <w:spacing w:before="0"/>
        <w:jc w:val="both"/>
        <w:textAlignment w:val="auto"/>
      </w:pPr>
      <w:r>
        <w:t>Easy to multiplex other UEs and uplink channels</w:t>
      </w:r>
    </w:p>
    <w:p w:rsidR="00657654" w:rsidRPr="00FD2C9C" w:rsidRDefault="00657654" w:rsidP="0035390A">
      <w:pPr>
        <w:pStyle w:val="Caption"/>
        <w:numPr>
          <w:ilvl w:val="0"/>
          <w:numId w:val="31"/>
        </w:numPr>
        <w:overflowPunct/>
        <w:autoSpaceDE/>
        <w:autoSpaceDN/>
        <w:adjustRightInd/>
        <w:spacing w:before="0"/>
        <w:jc w:val="both"/>
        <w:textAlignment w:val="auto"/>
      </w:pPr>
      <w:r>
        <w:t>Meeting regulation requirements such OCB and PSD</w:t>
      </w:r>
    </w:p>
    <w:p w:rsidR="00DC1298" w:rsidRDefault="00DC1298" w:rsidP="0035390A">
      <w:pPr>
        <w:jc w:val="both"/>
      </w:pPr>
    </w:p>
    <w:p w:rsidR="00E3731B" w:rsidRDefault="00E3731B" w:rsidP="0035390A">
      <w:pPr>
        <w:jc w:val="both"/>
      </w:pPr>
      <w:r w:rsidRPr="002C3353">
        <w:t xml:space="preserve">To </w:t>
      </w:r>
      <w:r>
        <w:t>meet</w:t>
      </w:r>
      <w:r w:rsidRPr="002C3353">
        <w:t xml:space="preserve"> these </w:t>
      </w:r>
      <w:r>
        <w:t>requirements</w:t>
      </w:r>
      <w:r w:rsidRPr="002C3353">
        <w:t>, we propose an approach of placing only a small number of Non-Zero Power (NZR) Resource Elements (REs) sparsely distributed across the entire nominal bandwidth in an OFDM symbol. By properly selecting the positions of these NZP REs, it is possible to generate a large set of sequences with auto and cross correlation properties that are much better than those of B-IFDMA based sequences. Because of its sparsity, the sequence can be overlaid with other uplink channels and signals, including PRACH transmitted by other UEs</w:t>
      </w:r>
      <w:r>
        <w:t>. The REs occupied by the detected sequence(s) can be erased with minimum decoding performance degradation to the multiplexed data-bearing channels. Moreover, the signal occupies the entire nominal bandwidth and therefore meet the OCB requirement.</w:t>
      </w:r>
    </w:p>
    <w:p w:rsidR="00E3731B" w:rsidRPr="00645F4C" w:rsidRDefault="00E3731B" w:rsidP="00513E40">
      <w:pPr>
        <w:jc w:val="both"/>
      </w:pPr>
      <w:r>
        <w:fldChar w:fldCharType="begin"/>
      </w:r>
      <w:r>
        <w:instrText xml:space="preserve"> REF _Ref534913871 \h </w:instrText>
      </w:r>
      <w:r w:rsidR="00513E40">
        <w:instrText xml:space="preserve"> \* MERGEFORMAT </w:instrText>
      </w:r>
      <w:r>
        <w:fldChar w:fldCharType="separate"/>
      </w:r>
      <w:r w:rsidR="00555C66">
        <w:t xml:space="preserve">Figure </w:t>
      </w:r>
      <w:r w:rsidR="00555C66">
        <w:rPr>
          <w:noProof/>
        </w:rPr>
        <w:t>3</w:t>
      </w:r>
      <w:r>
        <w:fldChar w:fldCharType="end"/>
      </w:r>
      <w:r>
        <w:t xml:space="preserve"> shows a simple approach of generating a set of length-42 sequences. Longer sequence can be similarly derived but is too large to fit the page. We start by first creating a 2-dimensional 6 by 7 Costas Array</w:t>
      </w:r>
      <w:r w:rsidR="0095273A">
        <w:t xml:space="preserve"> </w:t>
      </w:r>
      <w:r w:rsidR="0095273A">
        <w:fldChar w:fldCharType="begin"/>
      </w:r>
      <w:r w:rsidR="0095273A">
        <w:instrText xml:space="preserve"> REF _Ref535043388 \w \h </w:instrText>
      </w:r>
      <w:r w:rsidR="0095273A">
        <w:fldChar w:fldCharType="separate"/>
      </w:r>
      <w:r w:rsidR="00555C66">
        <w:t>[4]</w:t>
      </w:r>
      <w:r w:rsidR="0095273A">
        <w:fldChar w:fldCharType="end"/>
      </w:r>
      <w:r>
        <w:t xml:space="preserve">. The Costas array in </w:t>
      </w:r>
      <w:r>
        <w:fldChar w:fldCharType="begin"/>
      </w:r>
      <w:r>
        <w:instrText xml:space="preserve"> REF _Ref534913871 \h </w:instrText>
      </w:r>
      <w:r w:rsidR="00513E40">
        <w:instrText xml:space="preserve"> \* MERGEFORMAT </w:instrText>
      </w:r>
      <w:r>
        <w:fldChar w:fldCharType="separate"/>
      </w:r>
      <w:r w:rsidR="00555C66">
        <w:t xml:space="preserve">Figure </w:t>
      </w:r>
      <w:r w:rsidR="00555C66">
        <w:rPr>
          <w:noProof/>
        </w:rPr>
        <w:t>3</w:t>
      </w:r>
      <w:r>
        <w:fldChar w:fldCharType="end"/>
      </w:r>
      <w:r>
        <w:t xml:space="preserve"> can be described by the hopping sequence of integers {0, 2, 1, 5, 3, 4}, where each number represents the location of the mark with respect to the first element of its corresponding row. The 2-D Costas array is then concatenated row-wise into a one-dimensional row vector. The PRACH sequence is then a length-42 frequency domain sequence in which only the sub-carriers of the marked positions have non-zero power. These non-zero REs are power boosted equally by a factor normalized to the total transmit power. The complex modulation values of these REs can be arbitrary without changing its correlation properties. A different sequence can be generated in the same manner by cyclically shifting the 2D array, resulting in a total of 6*7 = 42 sequences. The property of Costas array ensures that any pair of sequences in this set of 42 sequences have at most one collision in their NZP REs. In other words, the normalized cross correlation between any pair of sequences in the set is either 0 or 1/6. </w:t>
      </w:r>
    </w:p>
    <w:p w:rsidR="00E3731B" w:rsidRDefault="00E3731B" w:rsidP="00E3731B">
      <w:pPr>
        <w:keepNext/>
      </w:pPr>
      <w:r w:rsidRPr="00192A12">
        <w:rPr>
          <w:noProof/>
          <w:lang w:eastAsia="zh-TW"/>
        </w:rPr>
        <w:drawing>
          <wp:inline distT="0" distB="0" distL="0" distR="0" wp14:anchorId="6A0EAE44" wp14:editId="50405320">
            <wp:extent cx="6475730" cy="1381893"/>
            <wp:effectExtent l="0" t="0" r="127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730" cy="1381893"/>
                    </a:xfrm>
                    <a:prstGeom prst="rect">
                      <a:avLst/>
                    </a:prstGeom>
                    <a:noFill/>
                    <a:ln>
                      <a:noFill/>
                    </a:ln>
                  </pic:spPr>
                </pic:pic>
              </a:graphicData>
            </a:graphic>
          </wp:inline>
        </w:drawing>
      </w:r>
    </w:p>
    <w:p w:rsidR="00E3731B" w:rsidRDefault="00E3731B" w:rsidP="00E3731B">
      <w:pPr>
        <w:pStyle w:val="Caption"/>
        <w:jc w:val="center"/>
      </w:pPr>
      <w:bookmarkStart w:id="10" w:name="_Ref534913871"/>
      <w:r>
        <w:t xml:space="preserve">Figure </w:t>
      </w:r>
      <w:r w:rsidR="00B76CFB">
        <w:fldChar w:fldCharType="begin"/>
      </w:r>
      <w:r w:rsidR="00B76CFB">
        <w:instrText xml:space="preserve"> SEQ Figure \* ARABIC </w:instrText>
      </w:r>
      <w:r w:rsidR="00B76CFB">
        <w:fldChar w:fldCharType="separate"/>
      </w:r>
      <w:r w:rsidR="00555C66">
        <w:rPr>
          <w:noProof/>
        </w:rPr>
        <w:t>3</w:t>
      </w:r>
      <w:r w:rsidR="00B76CFB">
        <w:rPr>
          <w:noProof/>
        </w:rPr>
        <w:fldChar w:fldCharType="end"/>
      </w:r>
      <w:bookmarkEnd w:id="10"/>
      <w:r>
        <w:t>: Example for construction of a sparse PRACH sequence</w:t>
      </w:r>
    </w:p>
    <w:p w:rsidR="00513E40" w:rsidRDefault="00E3731B" w:rsidP="00513E40">
      <w:pPr>
        <w:jc w:val="both"/>
      </w:pPr>
      <w:r>
        <w:lastRenderedPageBreak/>
        <w:t xml:space="preserve">We now give an example for 30 kHz sub-carrier spacing in 20 MHz channel. There are approximately 600 sub-carriers in this case. Therefore, we use a 23 by 24 Costas array with a total of 22*23 = 506 sequence of length-506. The hopping sequence is given by {0, 4, 1, 9, 3, 19, 7, 16, 15, 10, 8, 21, 17, 20, 12, 18, 2, 14, 5, 6, 11, 13}. </w:t>
      </w:r>
      <w:r>
        <w:fldChar w:fldCharType="begin"/>
      </w:r>
      <w:r>
        <w:instrText xml:space="preserve"> REF _Ref534993567 \h </w:instrText>
      </w:r>
      <w:r w:rsidR="00513E40">
        <w:instrText xml:space="preserve"> \* MERGEFORMAT </w:instrText>
      </w:r>
      <w:r>
        <w:fldChar w:fldCharType="separate"/>
      </w:r>
      <w:r w:rsidR="00555C66">
        <w:t xml:space="preserve">Figure </w:t>
      </w:r>
      <w:r w:rsidR="00555C66">
        <w:rPr>
          <w:noProof/>
        </w:rPr>
        <w:t>4</w:t>
      </w:r>
      <w:r>
        <w:fldChar w:fldCharType="end"/>
      </w:r>
      <w:r>
        <w:t xml:space="preserve"> shows the auto-correlation (left) and cyclic auto-correlation (right) of an arbitrary sequence in the set. The sharp peak around zero-lag is visibly much better than that in </w:t>
      </w:r>
      <w:r>
        <w:fldChar w:fldCharType="begin"/>
      </w:r>
      <w:r>
        <w:instrText xml:space="preserve"> REF _Ref534811119 \h </w:instrText>
      </w:r>
      <w:r w:rsidR="00513E40">
        <w:instrText xml:space="preserve"> \* MERGEFORMAT </w:instrText>
      </w:r>
      <w:r>
        <w:fldChar w:fldCharType="separate"/>
      </w:r>
      <w:r w:rsidR="00555C66">
        <w:t xml:space="preserve">Figure </w:t>
      </w:r>
      <w:r w:rsidR="00555C66">
        <w:rPr>
          <w:noProof/>
        </w:rPr>
        <w:t>2</w:t>
      </w:r>
      <w:r>
        <w:fldChar w:fldCharType="end"/>
      </w:r>
      <w:r>
        <w:t>. All other sequences have similar properties. The cross correlation between any pair of sequences in the set is at most 1/22.</w:t>
      </w:r>
    </w:p>
    <w:p w:rsidR="00513E40" w:rsidRDefault="00513E40" w:rsidP="00513E40">
      <w:pPr>
        <w:jc w:val="both"/>
      </w:pPr>
      <w:bookmarkStart w:id="11" w:name="_Ref535048228"/>
      <w:r w:rsidRPr="003776C5">
        <w:rPr>
          <w:b/>
        </w:rPr>
        <w:t xml:space="preserve">Observation </w:t>
      </w:r>
      <w:r w:rsidRPr="003776C5">
        <w:rPr>
          <w:b/>
        </w:rPr>
        <w:fldChar w:fldCharType="begin"/>
      </w:r>
      <w:r w:rsidRPr="003776C5">
        <w:rPr>
          <w:b/>
        </w:rPr>
        <w:instrText xml:space="preserve"> SEQ Observation \* ARABIC </w:instrText>
      </w:r>
      <w:r w:rsidRPr="003776C5">
        <w:rPr>
          <w:b/>
        </w:rPr>
        <w:fldChar w:fldCharType="separate"/>
      </w:r>
      <w:r w:rsidR="00555C66">
        <w:rPr>
          <w:b/>
          <w:noProof/>
        </w:rPr>
        <w:t>2</w:t>
      </w:r>
      <w:r w:rsidRPr="003776C5">
        <w:rPr>
          <w:b/>
          <w:noProof/>
        </w:rPr>
        <w:fldChar w:fldCharType="end"/>
      </w:r>
      <w:r w:rsidRPr="003776C5">
        <w:rPr>
          <w:b/>
        </w:rPr>
        <w:t xml:space="preserve">: </w:t>
      </w:r>
      <w:r>
        <w:rPr>
          <w:b/>
        </w:rPr>
        <w:t>Sequences set generated by placing sparsely distributed, power boosted REs in an OFDM symbol have all the good properties required for the PRACH in NR-U.</w:t>
      </w:r>
      <w:bookmarkEnd w:id="11"/>
    </w:p>
    <w:p w:rsidR="00513E40" w:rsidRDefault="00513E40" w:rsidP="00513E40">
      <w:pPr>
        <w:jc w:val="both"/>
      </w:pPr>
    </w:p>
    <w:p w:rsidR="00E3731B" w:rsidRDefault="00E3731B" w:rsidP="00E3731B">
      <w:pPr>
        <w:keepNext/>
      </w:pPr>
      <w:r w:rsidRPr="00AD135F">
        <w:rPr>
          <w:noProof/>
          <w:lang w:eastAsia="zh-TW"/>
        </w:rPr>
        <w:drawing>
          <wp:inline distT="0" distB="0" distL="0" distR="0" wp14:anchorId="4EC1C618" wp14:editId="7AD96DE4">
            <wp:extent cx="2984400" cy="223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4400" cy="2239200"/>
                    </a:xfrm>
                    <a:prstGeom prst="rect">
                      <a:avLst/>
                    </a:prstGeom>
                    <a:noFill/>
                    <a:ln>
                      <a:noFill/>
                    </a:ln>
                  </pic:spPr>
                </pic:pic>
              </a:graphicData>
            </a:graphic>
          </wp:inline>
        </w:drawing>
      </w:r>
      <w:r w:rsidRPr="00AD135F">
        <w:t xml:space="preserve"> </w:t>
      </w:r>
      <w:r w:rsidRPr="00AD135F">
        <w:rPr>
          <w:noProof/>
          <w:lang w:eastAsia="zh-TW"/>
        </w:rPr>
        <w:drawing>
          <wp:inline distT="0" distB="0" distL="0" distR="0" wp14:anchorId="0259C89B" wp14:editId="497190B0">
            <wp:extent cx="2991600" cy="223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1600" cy="2239200"/>
                    </a:xfrm>
                    <a:prstGeom prst="rect">
                      <a:avLst/>
                    </a:prstGeom>
                    <a:noFill/>
                    <a:ln>
                      <a:noFill/>
                    </a:ln>
                  </pic:spPr>
                </pic:pic>
              </a:graphicData>
            </a:graphic>
          </wp:inline>
        </w:drawing>
      </w:r>
    </w:p>
    <w:p w:rsidR="00E3731B" w:rsidRDefault="00E3731B" w:rsidP="00513E40">
      <w:pPr>
        <w:pStyle w:val="Caption"/>
        <w:jc w:val="center"/>
      </w:pPr>
      <w:bookmarkStart w:id="12" w:name="_Ref534993567"/>
      <w:r>
        <w:t xml:space="preserve">Figure </w:t>
      </w:r>
      <w:r w:rsidR="00B76CFB">
        <w:fldChar w:fldCharType="begin"/>
      </w:r>
      <w:r w:rsidR="00B76CFB">
        <w:instrText xml:space="preserve"> SEQ Figure \* ARABIC </w:instrText>
      </w:r>
      <w:r w:rsidR="00B76CFB">
        <w:fldChar w:fldCharType="separate"/>
      </w:r>
      <w:r w:rsidR="00555C66">
        <w:rPr>
          <w:noProof/>
        </w:rPr>
        <w:t>4</w:t>
      </w:r>
      <w:r w:rsidR="00B76CFB">
        <w:rPr>
          <w:noProof/>
        </w:rPr>
        <w:fldChar w:fldCharType="end"/>
      </w:r>
      <w:bookmarkEnd w:id="12"/>
      <w:r>
        <w:t>: Auto correlation and cyclic auto correlation function of a length-552 sparse sequence</w:t>
      </w:r>
    </w:p>
    <w:p w:rsidR="00513E40" w:rsidRPr="00513E40" w:rsidRDefault="00513E40" w:rsidP="00513E40"/>
    <w:bookmarkEnd w:id="0"/>
    <w:p w:rsidR="004B78AB" w:rsidRDefault="004B78AB" w:rsidP="004B78AB">
      <w:pPr>
        <w:pStyle w:val="Heading1"/>
        <w:jc w:val="both"/>
        <w:rPr>
          <w:lang w:eastAsia="zh-CN"/>
        </w:rPr>
      </w:pPr>
      <w:r>
        <w:rPr>
          <w:lang w:eastAsia="zh-CN"/>
        </w:rPr>
        <w:t>Conclusion</w:t>
      </w:r>
    </w:p>
    <w:p w:rsidR="00916AC2" w:rsidRDefault="00916AC2" w:rsidP="00916AC2">
      <w:pPr>
        <w:jc w:val="both"/>
        <w:rPr>
          <w:lang w:val="en-GB" w:eastAsia="zh-CN"/>
        </w:rPr>
      </w:pPr>
      <w:r>
        <w:rPr>
          <w:lang w:val="en-GB" w:eastAsia="zh-CN"/>
        </w:rPr>
        <w:t xml:space="preserve">In this contribution, we make the following observations. </w:t>
      </w:r>
    </w:p>
    <w:p w:rsidR="00916AC2" w:rsidRPr="00C5123D" w:rsidRDefault="00916AC2" w:rsidP="00916AC2">
      <w:pPr>
        <w:jc w:val="both"/>
        <w:rPr>
          <w:b/>
          <w:lang w:val="en-GB" w:eastAsia="zh-CN"/>
        </w:rPr>
      </w:pPr>
      <w:r w:rsidRPr="00C5123D">
        <w:rPr>
          <w:b/>
          <w:lang w:val="en-GB" w:eastAsia="zh-CN"/>
        </w:rPr>
        <w:fldChar w:fldCharType="begin"/>
      </w:r>
      <w:r w:rsidRPr="00C5123D">
        <w:rPr>
          <w:b/>
          <w:lang w:val="en-GB" w:eastAsia="zh-CN"/>
        </w:rPr>
        <w:instrText xml:space="preserve"> REF _Ref535048222 \h </w:instrText>
      </w:r>
      <w:r>
        <w:rPr>
          <w:b/>
          <w:lang w:val="en-GB" w:eastAsia="zh-CN"/>
        </w:rPr>
        <w:instrText xml:space="preserve"> \* MERGEFORMAT </w:instrText>
      </w:r>
      <w:r w:rsidRPr="00C5123D">
        <w:rPr>
          <w:b/>
          <w:lang w:val="en-GB" w:eastAsia="zh-CN"/>
        </w:rPr>
      </w:r>
      <w:r w:rsidRPr="00C5123D">
        <w:rPr>
          <w:b/>
          <w:lang w:val="en-GB" w:eastAsia="zh-CN"/>
        </w:rPr>
        <w:fldChar w:fldCharType="separate"/>
      </w:r>
      <w:r w:rsidR="00555C66" w:rsidRPr="00555C66">
        <w:rPr>
          <w:b/>
        </w:rPr>
        <w:t xml:space="preserve">Observation </w:t>
      </w:r>
      <w:r w:rsidR="00555C66" w:rsidRPr="00555C66">
        <w:rPr>
          <w:b/>
          <w:noProof/>
        </w:rPr>
        <w:t>1</w:t>
      </w:r>
      <w:r w:rsidR="00555C66" w:rsidRPr="00555C66">
        <w:rPr>
          <w:b/>
        </w:rPr>
        <w:t>: Applying B-IFDMA structure to PRACH severely degrades the correlation properties of PRACH. In addition, the resolution of timing estimation is significantly reduced.</w:t>
      </w:r>
      <w:r w:rsidRPr="00C5123D">
        <w:rPr>
          <w:b/>
          <w:lang w:val="en-GB" w:eastAsia="zh-CN"/>
        </w:rPr>
        <w:fldChar w:fldCharType="end"/>
      </w:r>
    </w:p>
    <w:p w:rsidR="00916AC2" w:rsidRDefault="00916AC2" w:rsidP="00916AC2">
      <w:pPr>
        <w:jc w:val="both"/>
        <w:rPr>
          <w:lang w:val="en-GB" w:eastAsia="zh-CN"/>
        </w:rPr>
      </w:pPr>
      <w:r w:rsidRPr="00C5123D">
        <w:rPr>
          <w:b/>
          <w:lang w:val="en-GB" w:eastAsia="zh-CN"/>
        </w:rPr>
        <w:fldChar w:fldCharType="begin"/>
      </w:r>
      <w:r w:rsidRPr="00C5123D">
        <w:rPr>
          <w:b/>
          <w:lang w:val="en-GB" w:eastAsia="zh-CN"/>
        </w:rPr>
        <w:instrText xml:space="preserve"> REF _Ref535048228 \h </w:instrText>
      </w:r>
      <w:r>
        <w:rPr>
          <w:b/>
          <w:lang w:val="en-GB" w:eastAsia="zh-CN"/>
        </w:rPr>
        <w:instrText xml:space="preserve"> \* MERGEFORMAT </w:instrText>
      </w:r>
      <w:r w:rsidRPr="00C5123D">
        <w:rPr>
          <w:b/>
          <w:lang w:val="en-GB" w:eastAsia="zh-CN"/>
        </w:rPr>
      </w:r>
      <w:r w:rsidRPr="00C5123D">
        <w:rPr>
          <w:b/>
          <w:lang w:val="en-GB" w:eastAsia="zh-CN"/>
        </w:rPr>
        <w:fldChar w:fldCharType="separate"/>
      </w:r>
      <w:r w:rsidR="00555C66" w:rsidRPr="003776C5">
        <w:rPr>
          <w:b/>
        </w:rPr>
        <w:t xml:space="preserve">Observation </w:t>
      </w:r>
      <w:r w:rsidR="00555C66">
        <w:rPr>
          <w:b/>
          <w:noProof/>
        </w:rPr>
        <w:t>2</w:t>
      </w:r>
      <w:r w:rsidR="00555C66" w:rsidRPr="003776C5">
        <w:rPr>
          <w:b/>
        </w:rPr>
        <w:t xml:space="preserve">: </w:t>
      </w:r>
      <w:r w:rsidR="00555C66">
        <w:rPr>
          <w:b/>
        </w:rPr>
        <w:t>Sequences set generated by placing sparsely distributed, power boosted REs in an OFDM symbol have all the good properties required for the PRACH in NR-U.</w:t>
      </w:r>
      <w:r w:rsidRPr="00C5123D">
        <w:rPr>
          <w:b/>
          <w:lang w:val="en-GB" w:eastAsia="zh-CN"/>
        </w:rPr>
        <w:fldChar w:fldCharType="end"/>
      </w:r>
    </w:p>
    <w:p w:rsidR="00916AC2" w:rsidRDefault="00916AC2" w:rsidP="00916AC2">
      <w:pPr>
        <w:jc w:val="both"/>
        <w:rPr>
          <w:lang w:val="en-GB" w:eastAsia="zh-CN"/>
        </w:rPr>
      </w:pPr>
      <w:r>
        <w:rPr>
          <w:lang w:val="en-GB" w:eastAsia="zh-CN"/>
        </w:rPr>
        <w:t xml:space="preserve">Based on the above observations, we further make the following proposals. </w:t>
      </w:r>
    </w:p>
    <w:p w:rsidR="00916AC2" w:rsidRDefault="00916AC2" w:rsidP="00916AC2">
      <w:pPr>
        <w:jc w:val="both"/>
        <w:rPr>
          <w:b/>
          <w:lang w:val="en-GB" w:eastAsia="zh-CN"/>
        </w:rPr>
      </w:pPr>
      <w:r w:rsidRPr="00C5123D">
        <w:rPr>
          <w:b/>
          <w:lang w:val="en-GB" w:eastAsia="zh-CN"/>
        </w:rPr>
        <w:fldChar w:fldCharType="begin"/>
      </w:r>
      <w:r w:rsidRPr="00C5123D">
        <w:rPr>
          <w:b/>
          <w:lang w:val="en-GB" w:eastAsia="zh-CN"/>
        </w:rPr>
        <w:instrText xml:space="preserve"> REF _Ref1154833 \h  \* MERGEFORMAT </w:instrText>
      </w:r>
      <w:r w:rsidRPr="00C5123D">
        <w:rPr>
          <w:b/>
          <w:lang w:val="en-GB" w:eastAsia="zh-CN"/>
        </w:rPr>
      </w:r>
      <w:r w:rsidRPr="00C5123D">
        <w:rPr>
          <w:b/>
          <w:lang w:val="en-GB" w:eastAsia="zh-CN"/>
        </w:rPr>
        <w:fldChar w:fldCharType="separate"/>
      </w:r>
      <w:r w:rsidR="00555C66" w:rsidRPr="00555C66">
        <w:rPr>
          <w:b/>
        </w:rPr>
        <w:t xml:space="preserve">Proposal </w:t>
      </w:r>
      <w:r w:rsidR="00555C66" w:rsidRPr="00555C66">
        <w:rPr>
          <w:b/>
          <w:noProof/>
        </w:rPr>
        <w:t>1</w:t>
      </w:r>
      <w:r w:rsidR="00555C66" w:rsidRPr="00555C66">
        <w:rPr>
          <w:b/>
        </w:rPr>
        <w:t xml:space="preserve">: In NR-U, SS/PBCH blocks should be located symbols (2, 3, 4, 5) and (9, 10, 11, 12) in a slot. </w:t>
      </w:r>
      <w:r w:rsidRPr="00C5123D">
        <w:rPr>
          <w:b/>
          <w:lang w:val="en-GB" w:eastAsia="zh-CN"/>
        </w:rPr>
        <w:fldChar w:fldCharType="end"/>
      </w:r>
    </w:p>
    <w:p w:rsidR="005F2D73" w:rsidRPr="00555C66" w:rsidRDefault="005F2D73" w:rsidP="00916AC2">
      <w:pPr>
        <w:jc w:val="both"/>
        <w:rPr>
          <w:b/>
          <w:lang w:val="en-GB" w:eastAsia="zh-CN"/>
        </w:rPr>
      </w:pPr>
      <w:r w:rsidRPr="00555C66">
        <w:rPr>
          <w:b/>
          <w:lang w:val="en-GB" w:eastAsia="zh-CN"/>
        </w:rPr>
        <w:fldChar w:fldCharType="begin"/>
      </w:r>
      <w:r w:rsidRPr="00555C66">
        <w:rPr>
          <w:b/>
          <w:lang w:val="en-GB" w:eastAsia="zh-CN"/>
        </w:rPr>
        <w:instrText xml:space="preserve"> REF _Ref4680467 \h </w:instrText>
      </w:r>
      <w:r w:rsidR="001618DF" w:rsidRPr="00555C66">
        <w:rPr>
          <w:b/>
          <w:lang w:val="en-GB" w:eastAsia="zh-CN"/>
        </w:rPr>
        <w:instrText xml:space="preserve"> \* MERGEFORMAT </w:instrText>
      </w:r>
      <w:r w:rsidRPr="00555C66">
        <w:rPr>
          <w:b/>
          <w:lang w:val="en-GB" w:eastAsia="zh-CN"/>
        </w:rPr>
      </w:r>
      <w:r w:rsidRPr="00555C66">
        <w:rPr>
          <w:b/>
          <w:lang w:val="en-GB" w:eastAsia="zh-CN"/>
        </w:rPr>
        <w:fldChar w:fldCharType="separate"/>
      </w:r>
      <w:r w:rsidR="00555C66" w:rsidRPr="00555C66">
        <w:rPr>
          <w:b/>
        </w:rPr>
        <w:t xml:space="preserve">Proposal </w:t>
      </w:r>
      <w:r w:rsidR="00555C66" w:rsidRPr="00555C66">
        <w:rPr>
          <w:b/>
          <w:noProof/>
        </w:rPr>
        <w:t>2</w:t>
      </w:r>
      <w:r w:rsidR="00555C66" w:rsidRPr="00555C66">
        <w:rPr>
          <w:b/>
        </w:rPr>
        <w:t>: Similar to NR, NR-U supports that both CORESET and search space configurations for Type-0 PDCCH to be carried by PBCH.</w:t>
      </w:r>
      <w:r w:rsidRPr="00555C66">
        <w:rPr>
          <w:b/>
          <w:lang w:val="en-GB" w:eastAsia="zh-CN"/>
        </w:rPr>
        <w:fldChar w:fldCharType="end"/>
      </w:r>
    </w:p>
    <w:p w:rsidR="00916AC2" w:rsidRPr="000413E4" w:rsidRDefault="00916AC2" w:rsidP="00916AC2">
      <w:pPr>
        <w:jc w:val="both"/>
        <w:rPr>
          <w:b/>
          <w:lang w:val="en-GB" w:eastAsia="zh-CN"/>
        </w:rPr>
      </w:pPr>
      <w:r w:rsidRPr="000413E4">
        <w:rPr>
          <w:b/>
          <w:lang w:val="en-GB" w:eastAsia="zh-CN"/>
        </w:rPr>
        <w:fldChar w:fldCharType="begin"/>
      </w:r>
      <w:r w:rsidRPr="000413E4">
        <w:rPr>
          <w:b/>
          <w:lang w:val="en-GB" w:eastAsia="zh-CN"/>
        </w:rPr>
        <w:instrText xml:space="preserve"> REF _Ref535048270 \h </w:instrText>
      </w:r>
      <w:r>
        <w:rPr>
          <w:b/>
          <w:lang w:val="en-GB" w:eastAsia="zh-CN"/>
        </w:rPr>
        <w:instrText xml:space="preserve"> \* MERGEFORMAT </w:instrText>
      </w:r>
      <w:r w:rsidRPr="000413E4">
        <w:rPr>
          <w:b/>
          <w:lang w:val="en-GB" w:eastAsia="zh-CN"/>
        </w:rPr>
      </w:r>
      <w:r w:rsidRPr="000413E4">
        <w:rPr>
          <w:b/>
          <w:lang w:val="en-GB" w:eastAsia="zh-CN"/>
        </w:rPr>
        <w:fldChar w:fldCharType="separate"/>
      </w:r>
      <w:r w:rsidR="00555C66" w:rsidRPr="00555C66">
        <w:rPr>
          <w:b/>
        </w:rPr>
        <w:t xml:space="preserve">Proposal </w:t>
      </w:r>
      <w:r w:rsidR="00555C66" w:rsidRPr="00555C66">
        <w:rPr>
          <w:b/>
          <w:noProof/>
        </w:rPr>
        <w:t>3</w:t>
      </w:r>
      <w:r w:rsidR="00555C66" w:rsidRPr="00555C66">
        <w:rPr>
          <w:rFonts w:eastAsia="SimSun"/>
          <w:b/>
          <w:lang w:eastAsia="zh-CN"/>
        </w:rPr>
        <w:t>: NR-U supports DL transmission indicator for UE power saving and to avoid missing PDSCH due to DRX. The DL transmission indicator could be transmitted within NR-U DRS to avoid LBT overhead.</w:t>
      </w:r>
      <w:r w:rsidRPr="000413E4">
        <w:rPr>
          <w:b/>
          <w:lang w:val="en-GB" w:eastAsia="zh-CN"/>
        </w:rPr>
        <w:fldChar w:fldCharType="end"/>
      </w:r>
    </w:p>
    <w:p w:rsidR="00916AC2" w:rsidRPr="000413E4" w:rsidRDefault="00916AC2" w:rsidP="00916AC2">
      <w:pPr>
        <w:jc w:val="both"/>
        <w:rPr>
          <w:b/>
          <w:lang w:val="en-GB" w:eastAsia="zh-CN"/>
        </w:rPr>
      </w:pPr>
      <w:r w:rsidRPr="000413E4">
        <w:rPr>
          <w:b/>
          <w:lang w:val="en-GB" w:eastAsia="zh-CN"/>
        </w:rPr>
        <w:fldChar w:fldCharType="begin"/>
      </w:r>
      <w:r w:rsidRPr="000413E4">
        <w:rPr>
          <w:b/>
          <w:lang w:val="en-GB" w:eastAsia="zh-CN"/>
        </w:rPr>
        <w:instrText xml:space="preserve"> REF _Ref535048277 \h </w:instrText>
      </w:r>
      <w:r>
        <w:rPr>
          <w:b/>
          <w:lang w:val="en-GB" w:eastAsia="zh-CN"/>
        </w:rPr>
        <w:instrText xml:space="preserve"> \* MERGEFORMAT </w:instrText>
      </w:r>
      <w:r w:rsidRPr="000413E4">
        <w:rPr>
          <w:b/>
          <w:lang w:val="en-GB" w:eastAsia="zh-CN"/>
        </w:rPr>
      </w:r>
      <w:r w:rsidRPr="000413E4">
        <w:rPr>
          <w:b/>
          <w:lang w:val="en-GB" w:eastAsia="zh-CN"/>
        </w:rPr>
        <w:fldChar w:fldCharType="separate"/>
      </w:r>
      <w:r w:rsidR="00555C66" w:rsidRPr="00555C66">
        <w:rPr>
          <w:b/>
        </w:rPr>
        <w:t xml:space="preserve">Proposal </w:t>
      </w:r>
      <w:r w:rsidR="00555C66" w:rsidRPr="00555C66">
        <w:rPr>
          <w:b/>
          <w:noProof/>
        </w:rPr>
        <w:t>4</w:t>
      </w:r>
      <w:r w:rsidR="00555C66" w:rsidRPr="00555C66">
        <w:rPr>
          <w:b/>
        </w:rPr>
        <w:t>: The following design principles shall be adopted for PRACH design in NR-U:</w:t>
      </w:r>
      <w:r w:rsidRPr="000413E4">
        <w:rPr>
          <w:b/>
          <w:lang w:val="en-GB" w:eastAsia="zh-CN"/>
        </w:rPr>
        <w:fldChar w:fldCharType="end"/>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Good correlation property</w:t>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Providing a large number of sequences</w:t>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Easy to multiplex other UEs and uplink channels</w:t>
      </w:r>
    </w:p>
    <w:p w:rsidR="00916AC2" w:rsidRPr="000413E4" w:rsidRDefault="00916AC2" w:rsidP="00916AC2">
      <w:pPr>
        <w:pStyle w:val="Caption"/>
        <w:numPr>
          <w:ilvl w:val="0"/>
          <w:numId w:val="31"/>
        </w:numPr>
        <w:overflowPunct/>
        <w:autoSpaceDE/>
        <w:autoSpaceDN/>
        <w:adjustRightInd/>
        <w:spacing w:before="0"/>
        <w:jc w:val="both"/>
        <w:textAlignment w:val="auto"/>
      </w:pPr>
      <w:r w:rsidRPr="000413E4">
        <w:t>Meeting regulation requirements such OCB and PSD</w:t>
      </w:r>
    </w:p>
    <w:p w:rsidR="005136D1" w:rsidRPr="005136D1" w:rsidRDefault="005136D1" w:rsidP="00B85260">
      <w:pPr>
        <w:jc w:val="both"/>
        <w:rPr>
          <w:lang w:eastAsia="zh-CN"/>
        </w:rPr>
      </w:pPr>
    </w:p>
    <w:p w:rsidR="00830327" w:rsidRPr="00AF360F" w:rsidRDefault="00830327" w:rsidP="00B85260">
      <w:pPr>
        <w:pStyle w:val="Heading1"/>
        <w:jc w:val="both"/>
        <w:rPr>
          <w:lang w:eastAsia="zh-CN"/>
        </w:rPr>
      </w:pPr>
      <w:r>
        <w:rPr>
          <w:lang w:eastAsia="zh-CN"/>
        </w:rPr>
        <w:lastRenderedPageBreak/>
        <w:t>Reference</w:t>
      </w:r>
      <w:r w:rsidR="00F84C6E">
        <w:rPr>
          <w:lang w:eastAsia="zh-CN"/>
        </w:rPr>
        <w:t>s</w:t>
      </w:r>
    </w:p>
    <w:p w:rsidR="00350232" w:rsidRDefault="00350232" w:rsidP="00350232">
      <w:pPr>
        <w:numPr>
          <w:ilvl w:val="0"/>
          <w:numId w:val="35"/>
        </w:numPr>
        <w:overflowPunct/>
        <w:autoSpaceDE/>
        <w:autoSpaceDN/>
        <w:adjustRightInd/>
        <w:spacing w:after="120"/>
        <w:textAlignment w:val="auto"/>
      </w:pPr>
      <w:bookmarkStart w:id="13" w:name="_Ref528853922"/>
      <w:bookmarkStart w:id="14" w:name="_Ref481596356"/>
      <w:bookmarkStart w:id="15" w:name="_Ref481781528"/>
      <w:bookmarkStart w:id="16" w:name="_Ref481782557"/>
      <w:r>
        <w:t>RP-182878, “New WID on NR-based Access to Unlicensed Spectrum”, Qualcomm Inc.</w:t>
      </w:r>
    </w:p>
    <w:p w:rsidR="00350232" w:rsidRDefault="00350232" w:rsidP="00350232">
      <w:pPr>
        <w:numPr>
          <w:ilvl w:val="0"/>
          <w:numId w:val="35"/>
        </w:numPr>
        <w:overflowPunct/>
        <w:autoSpaceDE/>
        <w:autoSpaceDN/>
        <w:adjustRightInd/>
        <w:spacing w:after="120"/>
        <w:textAlignment w:val="auto"/>
      </w:pPr>
      <w:bookmarkStart w:id="17" w:name="_Ref534984474"/>
      <w:r>
        <w:t>TR 38.889, “Study on NR-based Access to Unlicensed Spectrum”, December 2018, V 1.1.0.</w:t>
      </w:r>
      <w:bookmarkEnd w:id="17"/>
    </w:p>
    <w:p w:rsidR="00350232" w:rsidRDefault="00350232" w:rsidP="00350232">
      <w:pPr>
        <w:numPr>
          <w:ilvl w:val="0"/>
          <w:numId w:val="35"/>
        </w:numPr>
        <w:overflowPunct/>
        <w:autoSpaceDE/>
        <w:autoSpaceDN/>
        <w:adjustRightInd/>
        <w:spacing w:after="120"/>
        <w:textAlignment w:val="auto"/>
      </w:pPr>
      <w:bookmarkStart w:id="18" w:name="_Ref528932384"/>
      <w:bookmarkEnd w:id="13"/>
      <w:r>
        <w:t>R1-1812360, “</w:t>
      </w:r>
      <w:r w:rsidRPr="00D0537F">
        <w:t>Evaluation Methodology for UE Power Saving</w:t>
      </w:r>
      <w:r>
        <w:t>”, MediaTek Inc.</w:t>
      </w:r>
      <w:bookmarkEnd w:id="18"/>
    </w:p>
    <w:p w:rsidR="00423AAA" w:rsidRPr="00423AAA" w:rsidRDefault="00FE536A" w:rsidP="00FE536A">
      <w:pPr>
        <w:numPr>
          <w:ilvl w:val="0"/>
          <w:numId w:val="35"/>
        </w:numPr>
        <w:overflowPunct/>
        <w:autoSpaceDE/>
        <w:autoSpaceDN/>
        <w:adjustRightInd/>
        <w:spacing w:after="120"/>
        <w:textAlignment w:val="auto"/>
      </w:pPr>
      <w:bookmarkStart w:id="19" w:name="_Ref535043388"/>
      <w:bookmarkEnd w:id="14"/>
      <w:bookmarkEnd w:id="15"/>
      <w:bookmarkEnd w:id="16"/>
      <w:r w:rsidRPr="00F26A7E">
        <w:t>S. W.</w:t>
      </w:r>
      <w:r>
        <w:t xml:space="preserve"> Golomb and</w:t>
      </w:r>
      <w:r w:rsidRPr="00F26A7E">
        <w:t xml:space="preserve"> </w:t>
      </w:r>
      <w:r>
        <w:t>H. Taylor, “</w:t>
      </w:r>
      <w:r w:rsidRPr="00F26A7E">
        <w:t>Construction and properties of Costas arrays</w:t>
      </w:r>
      <w:r>
        <w:t>,”</w:t>
      </w:r>
      <w:r w:rsidRPr="00F26A7E">
        <w:t xml:space="preserve"> Proceedings of the IEEE, </w:t>
      </w:r>
      <w:r>
        <w:t>vol. 72, #9,</w:t>
      </w:r>
      <w:r w:rsidRPr="00F26A7E">
        <w:t xml:space="preserve"> </w:t>
      </w:r>
      <w:r>
        <w:t xml:space="preserve">pp. </w:t>
      </w:r>
      <w:r w:rsidRPr="00F26A7E">
        <w:t>1143–1163</w:t>
      </w:r>
      <w:r>
        <w:t>.</w:t>
      </w:r>
      <w:bookmarkEnd w:id="19"/>
    </w:p>
    <w:sectPr w:rsidR="00423AAA" w:rsidRPr="00423AAA" w:rsidSect="0054620D">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CFB" w:rsidRDefault="00B76CFB">
      <w:r>
        <w:separator/>
      </w:r>
    </w:p>
  </w:endnote>
  <w:endnote w:type="continuationSeparator" w:id="0">
    <w:p w:rsidR="00B76CFB" w:rsidRDefault="00B7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3C01E6" w:rsidRDefault="003C01E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CD592B">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CD592B">
              <w:rPr>
                <w:bCs/>
              </w:rPr>
              <w:t>6</w:t>
            </w:r>
            <w:r>
              <w:rPr>
                <w:b w:val="0"/>
                <w:bCs/>
                <w:sz w:val="24"/>
                <w:szCs w:val="24"/>
              </w:rPr>
              <w:fldChar w:fldCharType="end"/>
            </w:r>
          </w:p>
        </w:sdtContent>
      </w:sdt>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CFB" w:rsidRDefault="00B76CFB">
      <w:r>
        <w:separator/>
      </w:r>
    </w:p>
  </w:footnote>
  <w:footnote w:type="continuationSeparator" w:id="0">
    <w:p w:rsidR="00B76CFB" w:rsidRDefault="00B76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253E58"/>
    <w:multiLevelType w:val="hybridMultilevel"/>
    <w:tmpl w:val="C94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35"/>
  </w:num>
  <w:num w:numId="4">
    <w:abstractNumId w:val="36"/>
  </w:num>
  <w:num w:numId="5">
    <w:abstractNumId w:val="2"/>
  </w:num>
  <w:num w:numId="6">
    <w:abstractNumId w:val="21"/>
  </w:num>
  <w:num w:numId="7">
    <w:abstractNumId w:val="24"/>
  </w:num>
  <w:num w:numId="8">
    <w:abstractNumId w:val="3"/>
  </w:num>
  <w:num w:numId="9">
    <w:abstractNumId w:val="10"/>
  </w:num>
  <w:num w:numId="10">
    <w:abstractNumId w:val="20"/>
  </w:num>
  <w:num w:numId="11">
    <w:abstractNumId w:val="14"/>
  </w:num>
  <w:num w:numId="12">
    <w:abstractNumId w:val="18"/>
  </w:num>
  <w:num w:numId="13">
    <w:abstractNumId w:val="29"/>
  </w:num>
  <w:num w:numId="14">
    <w:abstractNumId w:val="31"/>
  </w:num>
  <w:num w:numId="15">
    <w:abstractNumId w:val="11"/>
  </w:num>
  <w:num w:numId="16">
    <w:abstractNumId w:val="9"/>
  </w:num>
  <w:num w:numId="17">
    <w:abstractNumId w:val="25"/>
  </w:num>
  <w:num w:numId="18">
    <w:abstractNumId w:val="26"/>
  </w:num>
  <w:num w:numId="19">
    <w:abstractNumId w:val="8"/>
  </w:num>
  <w:num w:numId="20">
    <w:abstractNumId w:val="23"/>
  </w:num>
  <w:num w:numId="21">
    <w:abstractNumId w:val="0"/>
  </w:num>
  <w:num w:numId="22">
    <w:abstractNumId w:val="17"/>
  </w:num>
  <w:num w:numId="23">
    <w:abstractNumId w:val="27"/>
  </w:num>
  <w:num w:numId="24">
    <w:abstractNumId w:val="22"/>
  </w:num>
  <w:num w:numId="25">
    <w:abstractNumId w:val="30"/>
  </w:num>
  <w:num w:numId="26">
    <w:abstractNumId w:val="1"/>
  </w:num>
  <w:num w:numId="27">
    <w:abstractNumId w:val="15"/>
  </w:num>
  <w:num w:numId="28">
    <w:abstractNumId w:val="12"/>
  </w:num>
  <w:num w:numId="29">
    <w:abstractNumId w:val="5"/>
  </w:num>
  <w:num w:numId="30">
    <w:abstractNumId w:val="19"/>
  </w:num>
  <w:num w:numId="31">
    <w:abstractNumId w:val="7"/>
  </w:num>
  <w:num w:numId="32">
    <w:abstractNumId w:val="33"/>
  </w:num>
  <w:num w:numId="33">
    <w:abstractNumId w:val="34"/>
  </w:num>
  <w:num w:numId="34">
    <w:abstractNumId w:val="28"/>
  </w:num>
  <w:num w:numId="35">
    <w:abstractNumId w:val="16"/>
  </w:num>
  <w:num w:numId="36">
    <w:abstractNumId w:val="13"/>
  </w:num>
  <w:num w:numId="3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C"/>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D34"/>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6C"/>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41"/>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B93"/>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18DF"/>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FE1"/>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ACC"/>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67D6B"/>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41B"/>
    <w:rsid w:val="00423772"/>
    <w:rsid w:val="00423779"/>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9B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D5C"/>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C66"/>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2D73"/>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ACD"/>
    <w:rsid w:val="00701B31"/>
    <w:rsid w:val="00701DC6"/>
    <w:rsid w:val="00702013"/>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1E00"/>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C2"/>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83A"/>
    <w:rsid w:val="00964AF6"/>
    <w:rsid w:val="00964DEA"/>
    <w:rsid w:val="00965202"/>
    <w:rsid w:val="0096558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DC0"/>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86"/>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4F78"/>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28D"/>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CFB"/>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6DC7"/>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523"/>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3E"/>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50A2"/>
    <w:rsid w:val="00CD5106"/>
    <w:rsid w:val="00CD549E"/>
    <w:rsid w:val="00CD5530"/>
    <w:rsid w:val="00CD558A"/>
    <w:rsid w:val="00CD55D2"/>
    <w:rsid w:val="00CD57ED"/>
    <w:rsid w:val="00CD592B"/>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903"/>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AF"/>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5C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A31"/>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634"/>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4F4"/>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2.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E587378-6110-4B96-8F25-87EBF3C48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14618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98</cp:revision>
  <cp:lastPrinted>2017-10-02T09:51:00Z</cp:lastPrinted>
  <dcterms:created xsi:type="dcterms:W3CDTF">2019-01-10T01:16:00Z</dcterms:created>
  <dcterms:modified xsi:type="dcterms:W3CDTF">2019-03-30T01:39:00Z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